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66387238"/>
        <w:docPartObj>
          <w:docPartGallery w:val="Cover Pages"/>
          <w:docPartUnique/>
        </w:docPartObj>
      </w:sdtPr>
      <w:sdtEndPr>
        <w:rPr>
          <w:rFonts w:cs="Helvetica"/>
          <w:i/>
        </w:rPr>
      </w:sdtEndPr>
      <w:sdtContent>
        <w:p w:rsidR="00F10E07" w:rsidRPr="008E33DF" w:rsidRDefault="00F10E07"/>
        <w:p w:rsidR="00F10E07" w:rsidRPr="008E33DF" w:rsidRDefault="00F10E07"/>
        <w:p w:rsidR="00F10E07" w:rsidRPr="008E33DF" w:rsidRDefault="00F10E07"/>
        <w:p w:rsidR="00F10E07" w:rsidRPr="008E33DF" w:rsidRDefault="00F10E07"/>
        <w:p w:rsidR="00F10E07" w:rsidRPr="008E33DF" w:rsidRDefault="00212328" w:rsidP="00212328">
          <w:pPr>
            <w:tabs>
              <w:tab w:val="left" w:pos="1066"/>
            </w:tabs>
          </w:pPr>
          <w:r w:rsidRPr="008E33DF">
            <w:tab/>
          </w:r>
        </w:p>
        <w:p w:rsidR="00212328" w:rsidRPr="008E33DF" w:rsidRDefault="00212328" w:rsidP="00212328">
          <w:pPr>
            <w:tabs>
              <w:tab w:val="left" w:pos="1066"/>
            </w:tabs>
          </w:pPr>
        </w:p>
        <w:p w:rsidR="00212328" w:rsidRPr="008E33DF" w:rsidRDefault="00212328" w:rsidP="00212328">
          <w:pPr>
            <w:tabs>
              <w:tab w:val="left" w:pos="1066"/>
            </w:tabs>
          </w:pPr>
        </w:p>
        <w:p w:rsidR="00212328" w:rsidRPr="008E33DF" w:rsidRDefault="00212328" w:rsidP="00212328">
          <w:pPr>
            <w:tabs>
              <w:tab w:val="left" w:pos="1066"/>
            </w:tabs>
          </w:pPr>
        </w:p>
        <w:p w:rsidR="00AE4D2E" w:rsidRPr="008E33DF" w:rsidRDefault="00104973">
          <w:r>
            <w:rPr>
              <w:noProof/>
            </w:rPr>
            <w:pict>
              <v:group id="_x0000_s1059" style="position:absolute;margin-left:0;margin-top:0;width:464.8pt;height:380.95pt;z-index:251678720;mso-position-horizontal:left;mso-position-horizontal-relative:page;mso-position-vertical:top;mso-position-vertical-relative:page" coordorigin="15,15" coordsize="9296,7619" o:allowincell="f">
                <v:shapetype id="_x0000_t32" coordsize="21600,21600" o:spt="32" o:oned="t" path="m,l21600,21600e" filled="f">
                  <v:path arrowok="t" fillok="f" o:connecttype="none"/>
                  <o:lock v:ext="edit" shapetype="t"/>
                </v:shapetype>
                <v:shape id="_x0000_s1060" type="#_x0000_t32" style="position:absolute;left:15;top:15;width:7512;height:7386" o:connectortype="straight" strokecolor="#a7bfde [1620]"/>
                <v:group id="_x0000_s1061" style="position:absolute;left:7095;top:5418;width:2216;height:2216" coordorigin="7907,4350" coordsize="2216,2216">
                  <v:oval id="_x0000_s1062" style="position:absolute;left:7907;top:4350;width:2216;height:2216" fillcolor="#a7bfde [1620]" stroked="f"/>
                  <v:oval id="_x0000_s1063" style="position:absolute;left:7961;top:4684;width:1813;height:1813" fillcolor="#d3dfee [820]" stroked="f"/>
                  <v:oval id="_x0000_s1064" style="position:absolute;left:8006;top:5027;width:1375;height:1375" fillcolor="#7ba0cd [2420]" stroked="f"/>
                </v:group>
                <w10:wrap anchorx="page" anchory="page"/>
              </v:group>
            </w:pict>
          </w:r>
          <w:r>
            <w:rPr>
              <w:noProof/>
            </w:rPr>
            <w:pict>
              <v:group id="_x0000_s1054" style="position:absolute;margin-left:5684.9pt;margin-top:0;width:332.7pt;height:227.25pt;z-index:-251660290;mso-position-horizontal:right;mso-position-horizontal-relative:margin;mso-position-vertical:top;mso-position-vertical-relative:page" coordorigin="4136,15" coordsize="6654,4545" o:allowincell="f">
                <v:shape id="_x0000_s1055" type="#_x0000_t32" style="position:absolute;left:4136;top:15;width:3058;height:3855" o:connectortype="straight" strokecolor="#a7bfde [1620]"/>
                <v:oval id="_x0000_s1056" style="position:absolute;left:6674;top:444;width:4116;height:4116" fillcolor="#a7bfde [1620]" stroked="f"/>
                <v:oval id="_x0000_s1057" style="position:absolute;left:6773;top:1058;width:3367;height:3367" fillcolor="#d3dfee [820]" stroked="f"/>
                <v:oval id="_x0000_s1058" style="position:absolute;left:6856;top:1709;width:2553;height:2553" fillcolor="#7ba0cd [2420]" stroked="f"/>
                <w10:wrap anchorx="margin" anchory="page"/>
              </v:group>
            </w:pict>
          </w:r>
        </w:p>
        <w:p w:rsidR="00AE4D2E" w:rsidRPr="008E33DF" w:rsidRDefault="00104973">
          <w:pPr>
            <w:rPr>
              <w:rFonts w:cs="Helvetica"/>
              <w:i/>
            </w:rPr>
          </w:pPr>
          <w:r>
            <w:rPr>
              <w:rFonts w:cs="Helvetica"/>
              <w:i/>
              <w:noProof/>
            </w:rPr>
            <w:pict>
              <v:roundrect id="_x0000_s1082" style="position:absolute;margin-left:95.75pt;margin-top:604.45pt;width:405.15pt;height:106.3pt;z-index:251682816;mso-width-percent:900;mso-position-horizontal-relative:page;mso-position-vertical-relative:margin;mso-width-percent:900;mso-width-relative:margin" arcsize="2543f" o:allowincell="f" stroked="f">
                <v:shadow on="t" type="perspective" color="#4f81bd [3204]" origin="-.5,-.5" offset="-3pt,-3pt" offset2="6pt,6pt" matrix=".75,,,.75"/>
                <v:textbox style="mso-next-textbox:#_x0000_s1082;mso-fit-shape-to-text:t" inset=",,36pt,18pt">
                  <w:txbxContent>
                    <w:p w:rsidR="0049737D" w:rsidRDefault="0049737D" w:rsidP="00F97D3C">
                      <w:pPr>
                        <w:rPr>
                          <w:rFonts w:cs="Helvetica"/>
                          <w:b/>
                          <w:color w:val="17365D" w:themeColor="text2" w:themeShade="BF"/>
                          <w:sz w:val="24"/>
                          <w:szCs w:val="24"/>
                        </w:rPr>
                      </w:pPr>
                      <w:r w:rsidRPr="00344B0B">
                        <w:rPr>
                          <w:rFonts w:cs="Helvetica"/>
                          <w:b/>
                          <w:color w:val="17365D" w:themeColor="text2" w:themeShade="BF"/>
                          <w:sz w:val="24"/>
                          <w:szCs w:val="24"/>
                        </w:rPr>
                        <w:t xml:space="preserve">Opdrachtgever </w:t>
                      </w:r>
                      <w:r w:rsidRPr="00344B0B">
                        <w:rPr>
                          <w:rFonts w:cs="Helvetica"/>
                          <w:b/>
                          <w:color w:val="17365D" w:themeColor="text2" w:themeShade="BF"/>
                          <w:sz w:val="24"/>
                          <w:szCs w:val="24"/>
                        </w:rPr>
                        <w:tab/>
                      </w:r>
                      <w:r w:rsidRPr="00344B0B">
                        <w:rPr>
                          <w:rFonts w:cs="Helvetica"/>
                          <w:b/>
                          <w:color w:val="17365D" w:themeColor="text2" w:themeShade="BF"/>
                          <w:sz w:val="24"/>
                          <w:szCs w:val="24"/>
                        </w:rPr>
                        <w:tab/>
                      </w:r>
                      <w:r w:rsidRPr="00344B0B">
                        <w:rPr>
                          <w:rFonts w:cs="Helvetica"/>
                          <w:b/>
                          <w:color w:val="17365D" w:themeColor="text2" w:themeShade="BF"/>
                          <w:sz w:val="24"/>
                          <w:szCs w:val="24"/>
                        </w:rPr>
                        <w:tab/>
                        <w:t xml:space="preserve">: Onze Advocaat </w:t>
                      </w:r>
                    </w:p>
                    <w:p w:rsidR="0049737D" w:rsidRDefault="0049737D" w:rsidP="00F97D3C">
                      <w:pPr>
                        <w:rPr>
                          <w:rFonts w:cs="Helvetica"/>
                          <w:b/>
                          <w:color w:val="17365D" w:themeColor="text2" w:themeShade="BF"/>
                          <w:sz w:val="24"/>
                          <w:szCs w:val="24"/>
                        </w:rPr>
                      </w:pPr>
                      <w:r>
                        <w:rPr>
                          <w:rFonts w:cs="Helvetica"/>
                          <w:b/>
                          <w:color w:val="17365D" w:themeColor="text2" w:themeShade="BF"/>
                          <w:sz w:val="24"/>
                          <w:szCs w:val="24"/>
                        </w:rPr>
                        <w:tab/>
                      </w:r>
                      <w:r>
                        <w:rPr>
                          <w:rFonts w:cs="Helvetica"/>
                          <w:b/>
                          <w:color w:val="17365D" w:themeColor="text2" w:themeShade="BF"/>
                          <w:sz w:val="24"/>
                          <w:szCs w:val="24"/>
                        </w:rPr>
                        <w:tab/>
                      </w:r>
                      <w:r>
                        <w:rPr>
                          <w:rFonts w:cs="Helvetica"/>
                          <w:b/>
                          <w:color w:val="17365D" w:themeColor="text2" w:themeShade="BF"/>
                          <w:sz w:val="24"/>
                          <w:szCs w:val="24"/>
                        </w:rPr>
                        <w:tab/>
                      </w:r>
                      <w:r>
                        <w:rPr>
                          <w:rFonts w:cs="Helvetica"/>
                          <w:b/>
                          <w:color w:val="17365D" w:themeColor="text2" w:themeShade="BF"/>
                          <w:sz w:val="24"/>
                          <w:szCs w:val="24"/>
                        </w:rPr>
                        <w:tab/>
                      </w:r>
                      <w:r>
                        <w:rPr>
                          <w:rFonts w:cs="Helvetica"/>
                          <w:b/>
                          <w:color w:val="17365D" w:themeColor="text2" w:themeShade="BF"/>
                          <w:sz w:val="24"/>
                          <w:szCs w:val="24"/>
                        </w:rPr>
                        <w:tab/>
                        <w:t xml:space="preserve">  K.S. Loilargosain</w:t>
                      </w:r>
                    </w:p>
                    <w:p w:rsidR="0049737D" w:rsidRPr="00344B0B" w:rsidRDefault="0049737D" w:rsidP="00F97D3C">
                      <w:pPr>
                        <w:rPr>
                          <w:rFonts w:cs="Helvetica"/>
                          <w:b/>
                          <w:color w:val="17365D" w:themeColor="text2" w:themeShade="BF"/>
                          <w:sz w:val="24"/>
                          <w:szCs w:val="24"/>
                        </w:rPr>
                      </w:pPr>
                      <w:r w:rsidRPr="00344B0B">
                        <w:rPr>
                          <w:rFonts w:cs="Helvetica"/>
                          <w:b/>
                          <w:color w:val="17365D" w:themeColor="text2" w:themeShade="BF"/>
                          <w:sz w:val="24"/>
                          <w:szCs w:val="24"/>
                        </w:rPr>
                        <w:t xml:space="preserve">Afstudeerbegeleidster </w:t>
                      </w:r>
                      <w:r w:rsidRPr="00344B0B">
                        <w:rPr>
                          <w:rFonts w:cs="Helvetica"/>
                          <w:b/>
                          <w:color w:val="17365D" w:themeColor="text2" w:themeShade="BF"/>
                          <w:sz w:val="24"/>
                          <w:szCs w:val="24"/>
                        </w:rPr>
                        <w:tab/>
                      </w:r>
                      <w:r>
                        <w:rPr>
                          <w:rFonts w:cs="Helvetica"/>
                          <w:b/>
                          <w:color w:val="17365D" w:themeColor="text2" w:themeShade="BF"/>
                          <w:sz w:val="24"/>
                          <w:szCs w:val="24"/>
                        </w:rPr>
                        <w:tab/>
                      </w:r>
                      <w:r w:rsidRPr="00344B0B">
                        <w:rPr>
                          <w:rFonts w:cs="Helvetica"/>
                          <w:b/>
                          <w:color w:val="17365D" w:themeColor="text2" w:themeShade="BF"/>
                          <w:sz w:val="24"/>
                          <w:szCs w:val="24"/>
                        </w:rPr>
                        <w:t xml:space="preserve">: Mariann Mesman </w:t>
                      </w:r>
                    </w:p>
                    <w:p w:rsidR="0049737D" w:rsidRPr="00344B0B" w:rsidRDefault="0049737D" w:rsidP="00F97D3C">
                      <w:pPr>
                        <w:rPr>
                          <w:rFonts w:cs="Helvetica"/>
                          <w:b/>
                          <w:color w:val="17365D" w:themeColor="text2" w:themeShade="BF"/>
                          <w:sz w:val="24"/>
                          <w:szCs w:val="24"/>
                        </w:rPr>
                      </w:pPr>
                      <w:r w:rsidRPr="00344B0B">
                        <w:rPr>
                          <w:rFonts w:cs="Helvetica"/>
                          <w:b/>
                          <w:color w:val="17365D" w:themeColor="text2" w:themeShade="BF"/>
                          <w:sz w:val="24"/>
                          <w:szCs w:val="24"/>
                        </w:rPr>
                        <w:t xml:space="preserve">Onderzoeksdocent </w:t>
                      </w:r>
                      <w:r w:rsidRPr="00344B0B">
                        <w:rPr>
                          <w:rFonts w:cs="Helvetica"/>
                          <w:b/>
                          <w:color w:val="17365D" w:themeColor="text2" w:themeShade="BF"/>
                          <w:sz w:val="24"/>
                          <w:szCs w:val="24"/>
                        </w:rPr>
                        <w:tab/>
                      </w:r>
                      <w:r w:rsidRPr="00344B0B">
                        <w:rPr>
                          <w:rFonts w:cs="Helvetica"/>
                          <w:b/>
                          <w:color w:val="17365D" w:themeColor="text2" w:themeShade="BF"/>
                          <w:sz w:val="24"/>
                          <w:szCs w:val="24"/>
                        </w:rPr>
                        <w:tab/>
                        <w:t>: Marleen Putz</w:t>
                      </w:r>
                    </w:p>
                  </w:txbxContent>
                </v:textbox>
                <w10:wrap anchorx="page" anchory="margin"/>
              </v:roundrect>
            </w:pict>
          </w:r>
          <w:r w:rsidR="00212328" w:rsidRPr="008E33DF">
            <w:rPr>
              <w:rFonts w:cs="Helvetica"/>
              <w:i/>
              <w:noProof/>
              <w:lang w:eastAsia="nl-NL"/>
            </w:rPr>
            <w:drawing>
              <wp:anchor distT="0" distB="0" distL="114300" distR="114300" simplePos="0" relativeHeight="251657215" behindDoc="0" locked="0" layoutInCell="1" allowOverlap="1">
                <wp:simplePos x="0" y="0"/>
                <wp:positionH relativeFrom="column">
                  <wp:posOffset>-880745</wp:posOffset>
                </wp:positionH>
                <wp:positionV relativeFrom="paragraph">
                  <wp:posOffset>1741473</wp:posOffset>
                </wp:positionV>
                <wp:extent cx="6995899" cy="1965278"/>
                <wp:effectExtent l="19050" t="0" r="0" b="0"/>
                <wp:wrapNone/>
                <wp:docPr id="11" name="Afbeelding 7" descr="C:\Users\erkan\AppData\Local\Microsoft\Windows\INetCache\Content.Word\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rkan\AppData\Local\Microsoft\Windows\INetCache\Content.Word\slide1.jpg"/>
                        <pic:cNvPicPr>
                          <a:picLocks noChangeAspect="1" noChangeArrowheads="1"/>
                        </pic:cNvPicPr>
                      </pic:nvPicPr>
                      <pic:blipFill>
                        <a:blip r:embed="rId9" cstate="print">
                          <a:lum/>
                        </a:blip>
                        <a:srcRect/>
                        <a:stretch>
                          <a:fillRect/>
                        </a:stretch>
                      </pic:blipFill>
                      <pic:spPr bwMode="auto">
                        <a:xfrm>
                          <a:off x="0" y="0"/>
                          <a:ext cx="6995899" cy="1965278"/>
                        </a:xfrm>
                        <a:prstGeom prst="rect">
                          <a:avLst/>
                        </a:prstGeom>
                        <a:solidFill>
                          <a:schemeClr val="bg1">
                            <a:alpha val="32000"/>
                          </a:schemeClr>
                        </a:solidFill>
                        <a:ln w="9525">
                          <a:noFill/>
                          <a:miter lim="800000"/>
                          <a:headEnd/>
                          <a:tailEnd/>
                        </a:ln>
                      </pic:spPr>
                    </pic:pic>
                  </a:graphicData>
                </a:graphic>
              </wp:anchor>
            </w:drawing>
          </w:r>
          <w:r>
            <w:rPr>
              <w:rFonts w:cs="Helvetica"/>
              <w:i/>
              <w:noProof/>
              <w:lang w:eastAsia="nl-NL"/>
            </w:rPr>
            <w:pict>
              <v:roundrect id="_x0000_s1083" style="position:absolute;margin-left:307.4pt;margin-top:444.65pt;width:368.15pt;height:194.8pt;rotation:270;flip:y;z-index:251683840;mso-position-horizontal-relative:page;mso-position-vertical-relative:margin;mso-width-relative:margin" arcsize=".5" o:allowincell="f" stroked="f">
                <v:shadow on="t" type="perspective" color="#4f81bd [3204]" origin="-.5,-.5" offset="-3pt,-3pt" offset2="6pt,6pt" matrix=".75,,,.75"/>
                <v:textbox style="mso-next-textbox:#_x0000_s1083" inset=",,36pt,18pt">
                  <w:txbxContent>
                    <w:p w:rsidR="0049737D" w:rsidRPr="00344B0B" w:rsidRDefault="0049737D" w:rsidP="00344B0B">
                      <w:pPr>
                        <w:spacing w:before="240"/>
                        <w:jc w:val="right"/>
                        <w:rPr>
                          <w:rFonts w:cs="Helvetica"/>
                          <w:b/>
                          <w:color w:val="17365D" w:themeColor="text2" w:themeShade="BF"/>
                          <w:sz w:val="24"/>
                          <w:szCs w:val="24"/>
                        </w:rPr>
                      </w:pPr>
                      <w:r w:rsidRPr="00344B0B">
                        <w:rPr>
                          <w:rFonts w:cs="Helvetica"/>
                          <w:b/>
                          <w:color w:val="17365D" w:themeColor="text2" w:themeShade="BF"/>
                          <w:sz w:val="24"/>
                          <w:szCs w:val="24"/>
                        </w:rPr>
                        <w:t>HBO-Rechten</w:t>
                      </w:r>
                    </w:p>
                    <w:p w:rsidR="0049737D" w:rsidRPr="00344B0B" w:rsidRDefault="0049737D" w:rsidP="00344B0B">
                      <w:pPr>
                        <w:spacing w:before="240"/>
                        <w:jc w:val="right"/>
                        <w:rPr>
                          <w:rFonts w:cs="Helvetica"/>
                          <w:b/>
                          <w:color w:val="17365D" w:themeColor="text2" w:themeShade="BF"/>
                          <w:sz w:val="24"/>
                          <w:szCs w:val="24"/>
                        </w:rPr>
                      </w:pPr>
                      <w:r w:rsidRPr="00344B0B">
                        <w:rPr>
                          <w:rFonts w:cs="Helvetica"/>
                          <w:b/>
                          <w:color w:val="17365D" w:themeColor="text2" w:themeShade="BF"/>
                          <w:sz w:val="24"/>
                          <w:szCs w:val="24"/>
                        </w:rPr>
                        <w:t>Hogeschool Leiden</w:t>
                      </w:r>
                    </w:p>
                    <w:p w:rsidR="0049737D" w:rsidRDefault="0049737D" w:rsidP="00344B0B">
                      <w:pPr>
                        <w:spacing w:before="240"/>
                        <w:jc w:val="right"/>
                        <w:rPr>
                          <w:rFonts w:cs="Helvetica"/>
                          <w:b/>
                          <w:color w:val="17365D" w:themeColor="text2" w:themeShade="BF"/>
                          <w:sz w:val="24"/>
                          <w:szCs w:val="24"/>
                        </w:rPr>
                      </w:pPr>
                      <w:r>
                        <w:rPr>
                          <w:rFonts w:cs="Helvetica"/>
                          <w:b/>
                          <w:color w:val="17365D" w:themeColor="text2" w:themeShade="BF"/>
                          <w:sz w:val="24"/>
                          <w:szCs w:val="24"/>
                        </w:rPr>
                        <w:t>Bachelorscriptie</w:t>
                      </w:r>
                    </w:p>
                    <w:p w:rsidR="0049737D" w:rsidRPr="00344B0B" w:rsidRDefault="0049737D" w:rsidP="00344B0B">
                      <w:pPr>
                        <w:spacing w:before="240"/>
                        <w:jc w:val="right"/>
                        <w:rPr>
                          <w:rFonts w:cs="Helvetica"/>
                          <w:b/>
                          <w:color w:val="17365D" w:themeColor="text2" w:themeShade="BF"/>
                          <w:sz w:val="24"/>
                          <w:szCs w:val="24"/>
                        </w:rPr>
                      </w:pPr>
                      <w:r>
                        <w:rPr>
                          <w:rFonts w:cs="Helvetica"/>
                          <w:b/>
                          <w:color w:val="17365D" w:themeColor="text2" w:themeShade="BF"/>
                          <w:sz w:val="24"/>
                          <w:szCs w:val="24"/>
                        </w:rPr>
                        <w:t>S</w:t>
                      </w:r>
                      <w:r w:rsidRPr="00344B0B">
                        <w:rPr>
                          <w:rFonts w:cs="Helvetica"/>
                          <w:b/>
                          <w:color w:val="17365D" w:themeColor="text2" w:themeShade="BF"/>
                          <w:sz w:val="24"/>
                          <w:szCs w:val="24"/>
                        </w:rPr>
                        <w:t>tudiejaar 2015-2016</w:t>
                      </w:r>
                    </w:p>
                    <w:p w:rsidR="0049737D" w:rsidRPr="00344B0B" w:rsidRDefault="0049737D" w:rsidP="00344B0B">
                      <w:pPr>
                        <w:spacing w:before="240"/>
                        <w:jc w:val="right"/>
                        <w:rPr>
                          <w:rFonts w:cs="Helvetica"/>
                          <w:b/>
                          <w:color w:val="17365D" w:themeColor="text2" w:themeShade="BF"/>
                          <w:sz w:val="24"/>
                          <w:szCs w:val="24"/>
                        </w:rPr>
                      </w:pPr>
                      <w:r w:rsidRPr="00344B0B">
                        <w:rPr>
                          <w:rFonts w:cs="Helvetica"/>
                          <w:b/>
                          <w:color w:val="17365D" w:themeColor="text2" w:themeShade="BF"/>
                          <w:sz w:val="24"/>
                          <w:szCs w:val="24"/>
                        </w:rPr>
                        <w:t>Erkan Alanyurt</w:t>
                      </w:r>
                    </w:p>
                    <w:p w:rsidR="0049737D" w:rsidRPr="00344B0B" w:rsidRDefault="0049737D" w:rsidP="00344B0B">
                      <w:pPr>
                        <w:spacing w:before="240"/>
                        <w:jc w:val="right"/>
                        <w:rPr>
                          <w:rFonts w:cs="Helvetica"/>
                          <w:b/>
                          <w:color w:val="17365D" w:themeColor="text2" w:themeShade="BF"/>
                          <w:sz w:val="24"/>
                          <w:szCs w:val="24"/>
                        </w:rPr>
                      </w:pPr>
                      <w:r w:rsidRPr="00344B0B">
                        <w:rPr>
                          <w:rFonts w:cs="Helvetica"/>
                          <w:b/>
                          <w:color w:val="17365D" w:themeColor="text2" w:themeShade="BF"/>
                          <w:sz w:val="24"/>
                          <w:szCs w:val="24"/>
                        </w:rPr>
                        <w:t>s1052145</w:t>
                      </w:r>
                    </w:p>
                    <w:p w:rsidR="0049737D" w:rsidRPr="00344B0B" w:rsidRDefault="0049737D" w:rsidP="00344B0B">
                      <w:pPr>
                        <w:spacing w:before="240"/>
                        <w:jc w:val="right"/>
                        <w:rPr>
                          <w:rFonts w:cs="Helvetica"/>
                          <w:b/>
                          <w:color w:val="17365D" w:themeColor="text2" w:themeShade="BF"/>
                          <w:sz w:val="24"/>
                          <w:szCs w:val="24"/>
                        </w:rPr>
                      </w:pPr>
                      <w:r w:rsidRPr="00344B0B">
                        <w:rPr>
                          <w:rFonts w:cs="Helvetica"/>
                          <w:b/>
                          <w:color w:val="17365D" w:themeColor="text2" w:themeShade="BF"/>
                          <w:sz w:val="24"/>
                          <w:szCs w:val="24"/>
                        </w:rPr>
                        <w:t>RE441C</w:t>
                      </w:r>
                    </w:p>
                    <w:p w:rsidR="0049737D" w:rsidRPr="00344B0B" w:rsidRDefault="00166BF3" w:rsidP="00344B0B">
                      <w:pPr>
                        <w:spacing w:before="240"/>
                        <w:jc w:val="right"/>
                        <w:rPr>
                          <w:rFonts w:cs="Helvetica"/>
                          <w:b/>
                          <w:color w:val="17365D" w:themeColor="text2" w:themeShade="BF"/>
                          <w:sz w:val="24"/>
                          <w:szCs w:val="24"/>
                        </w:rPr>
                      </w:pPr>
                      <w:r>
                        <w:rPr>
                          <w:rFonts w:cs="Helvetica"/>
                          <w:b/>
                          <w:color w:val="17365D" w:themeColor="text2" w:themeShade="BF"/>
                          <w:sz w:val="24"/>
                          <w:szCs w:val="24"/>
                        </w:rPr>
                        <w:t>21</w:t>
                      </w:r>
                      <w:r w:rsidR="0049737D" w:rsidRPr="00344B0B">
                        <w:rPr>
                          <w:rFonts w:cs="Helvetica"/>
                          <w:b/>
                          <w:color w:val="17365D" w:themeColor="text2" w:themeShade="BF"/>
                          <w:sz w:val="24"/>
                          <w:szCs w:val="24"/>
                        </w:rPr>
                        <w:t>-06-2016</w:t>
                      </w:r>
                    </w:p>
                    <w:p w:rsidR="0049737D" w:rsidRPr="00344B0B" w:rsidRDefault="0049737D" w:rsidP="00344B0B"/>
                  </w:txbxContent>
                </v:textbox>
                <w10:wrap anchorx="page" anchory="margin"/>
              </v:roundrect>
            </w:pict>
          </w:r>
          <w:sdt>
            <w:sdtPr>
              <w:rPr>
                <w:rFonts w:asciiTheme="majorHAnsi" w:eastAsiaTheme="majorEastAsia" w:hAnsiTheme="majorHAnsi" w:cstheme="majorBidi"/>
                <w:b/>
                <w:bCs/>
                <w:color w:val="365F91" w:themeColor="accent1" w:themeShade="BF"/>
                <w:sz w:val="48"/>
                <w:szCs w:val="48"/>
              </w:rPr>
              <w:alias w:val="Titel"/>
              <w:id w:val="703864190"/>
              <w:dataBinding w:prefixMappings="xmlns:ns0='http://schemas.openxmlformats.org/package/2006/metadata/core-properties' xmlns:ns1='http://purl.org/dc/elements/1.1/'" w:xpath="/ns0:coreProperties[1]/ns1:title[1]" w:storeItemID="{6C3C8BC8-F283-45AE-878A-BAB7291924A1}"/>
              <w:text/>
            </w:sdtPr>
            <w:sdtContent>
              <w:r w:rsidR="00C37D8B" w:rsidRPr="008E33DF">
                <w:rPr>
                  <w:rFonts w:asciiTheme="majorHAnsi" w:eastAsiaTheme="majorEastAsia" w:hAnsiTheme="majorHAnsi" w:cstheme="majorBidi"/>
                  <w:b/>
                  <w:bCs/>
                  <w:sz w:val="48"/>
                  <w:szCs w:val="48"/>
                </w:rPr>
                <w:t>Huurovereenkomst naar zijn aard van "korte duur"</w:t>
              </w:r>
            </w:sdtContent>
          </w:sdt>
          <w:r w:rsidR="00AE4D2E" w:rsidRPr="008E33DF">
            <w:rPr>
              <w:rFonts w:cs="Helvetica"/>
              <w:i/>
            </w:rPr>
            <w:br w:type="page"/>
          </w:r>
        </w:p>
      </w:sdtContent>
    </w:sdt>
    <w:p w:rsidR="00AA6200" w:rsidRPr="008E33DF" w:rsidRDefault="00AA6200" w:rsidP="005E7558">
      <w:pPr>
        <w:pStyle w:val="Kop1"/>
      </w:pPr>
      <w:bookmarkStart w:id="0" w:name="_Toc454253629"/>
      <w:r w:rsidRPr="008E33DF">
        <w:lastRenderedPageBreak/>
        <w:t>Voorwoord</w:t>
      </w:r>
      <w:bookmarkEnd w:id="0"/>
    </w:p>
    <w:p w:rsidR="00AA6200" w:rsidRPr="008E33DF" w:rsidRDefault="00AA6200">
      <w:pPr>
        <w:rPr>
          <w:rFonts w:cs="Helvetica"/>
          <w:i/>
        </w:rPr>
      </w:pPr>
    </w:p>
    <w:p w:rsidR="001704F2" w:rsidRPr="008E33DF" w:rsidRDefault="00EC62C2">
      <w:pPr>
        <w:rPr>
          <w:rFonts w:cs="Helvetica"/>
        </w:rPr>
      </w:pPr>
      <w:r w:rsidRPr="008E33DF">
        <w:rPr>
          <w:rFonts w:cs="Helvetica"/>
        </w:rPr>
        <w:t xml:space="preserve">Voor u ligt </w:t>
      </w:r>
      <w:r w:rsidR="001704F2" w:rsidRPr="008E33DF">
        <w:rPr>
          <w:rFonts w:cs="Helvetica"/>
        </w:rPr>
        <w:t>de</w:t>
      </w:r>
      <w:r w:rsidRPr="008E33DF">
        <w:rPr>
          <w:rFonts w:cs="Helvetica"/>
        </w:rPr>
        <w:t xml:space="preserve"> scriptie waarmee ik mijn opleiding HBO-Rechten aan de Hogeschool Leiden </w:t>
      </w:r>
      <w:r w:rsidR="001704F2" w:rsidRPr="008E33DF">
        <w:rPr>
          <w:rFonts w:cs="Helvetica"/>
        </w:rPr>
        <w:t>hoop</w:t>
      </w:r>
      <w:r w:rsidRPr="008E33DF">
        <w:rPr>
          <w:rFonts w:cs="Helvetica"/>
        </w:rPr>
        <w:t xml:space="preserve"> af</w:t>
      </w:r>
      <w:r w:rsidR="001704F2" w:rsidRPr="008E33DF">
        <w:rPr>
          <w:rFonts w:cs="Helvetica"/>
        </w:rPr>
        <w:t xml:space="preserve"> te ronden. Na lang</w:t>
      </w:r>
      <w:r w:rsidRPr="008E33DF">
        <w:rPr>
          <w:rFonts w:cs="Helvetica"/>
        </w:rPr>
        <w:t xml:space="preserve"> zoeken naar een opdrachtgever heb ik de gelegenheid gekreg</w:t>
      </w:r>
      <w:r w:rsidR="001704F2" w:rsidRPr="008E33DF">
        <w:rPr>
          <w:rFonts w:cs="Helvetica"/>
        </w:rPr>
        <w:t>en van Onze Advocaat</w:t>
      </w:r>
      <w:r w:rsidRPr="008E33DF">
        <w:rPr>
          <w:rFonts w:cs="Helvetica"/>
        </w:rPr>
        <w:t xml:space="preserve"> om deze scriptie voor hen te mogen schrijven. </w:t>
      </w:r>
    </w:p>
    <w:p w:rsidR="001704F2" w:rsidRPr="008E33DF" w:rsidRDefault="001704F2">
      <w:pPr>
        <w:rPr>
          <w:rFonts w:cs="Helvetica"/>
        </w:rPr>
      </w:pPr>
    </w:p>
    <w:p w:rsidR="00AA6200" w:rsidRPr="008E33DF" w:rsidRDefault="001704F2">
      <w:pPr>
        <w:rPr>
          <w:rFonts w:cs="Helvetica"/>
        </w:rPr>
      </w:pPr>
      <w:r w:rsidRPr="008E33DF">
        <w:rPr>
          <w:rFonts w:cs="Helvetica"/>
        </w:rPr>
        <w:t xml:space="preserve">Van deze </w:t>
      </w:r>
      <w:r w:rsidR="00EC62C2" w:rsidRPr="008E33DF">
        <w:rPr>
          <w:rFonts w:cs="Helvetica"/>
        </w:rPr>
        <w:t>gelegenheid</w:t>
      </w:r>
      <w:r w:rsidRPr="008E33DF">
        <w:rPr>
          <w:rFonts w:cs="Helvetica"/>
        </w:rPr>
        <w:t xml:space="preserve"> wil ik</w:t>
      </w:r>
      <w:r w:rsidR="00EC62C2" w:rsidRPr="008E33DF">
        <w:rPr>
          <w:rFonts w:cs="Helvetica"/>
        </w:rPr>
        <w:t xml:space="preserve"> gebruiken om enkele personen te bedanken.</w:t>
      </w:r>
    </w:p>
    <w:p w:rsidR="00AA6200" w:rsidRPr="008E33DF" w:rsidRDefault="00AA6200">
      <w:pPr>
        <w:rPr>
          <w:rFonts w:cs="Helvetica"/>
          <w:i/>
        </w:rPr>
      </w:pPr>
    </w:p>
    <w:p w:rsidR="00AA6200" w:rsidRPr="008E33DF" w:rsidRDefault="00EC62C2">
      <w:pPr>
        <w:rPr>
          <w:rFonts w:cs="Helvetica"/>
        </w:rPr>
      </w:pPr>
      <w:r w:rsidRPr="008E33DF">
        <w:rPr>
          <w:rFonts w:cs="Helvetica"/>
        </w:rPr>
        <w:t>Allereerst wil ik de heer Loilargosain bedanken voor zijn vertrouwen in mij en zijn begeleiding bij het schrijven van deze scriptie. Vervolgens wil ik mijn afstudeerbegeleider Mariann Mesman en onderzoeksdocent Marleen Putz bedanken voor de geweldige begeleiding en tussentijdse feedback. Ten slotte wil ik</w:t>
      </w:r>
      <w:r w:rsidR="001704F2" w:rsidRPr="008E33DF">
        <w:rPr>
          <w:rFonts w:cs="Helvetica"/>
        </w:rPr>
        <w:t xml:space="preserve"> mijn</w:t>
      </w:r>
      <w:r w:rsidRPr="008E33DF">
        <w:rPr>
          <w:rFonts w:cs="Helvetica"/>
        </w:rPr>
        <w:t xml:space="preserve"> vrienden en familie bedanken die mij hebben gesteund bij het schrijven van mijn scriptie</w:t>
      </w:r>
    </w:p>
    <w:p w:rsidR="00EC62C2" w:rsidRPr="008E33DF" w:rsidRDefault="00EC62C2">
      <w:pPr>
        <w:rPr>
          <w:rFonts w:cs="Helvetica"/>
        </w:rPr>
      </w:pPr>
    </w:p>
    <w:p w:rsidR="00EC62C2" w:rsidRPr="008E33DF" w:rsidRDefault="00EC62C2">
      <w:pPr>
        <w:rPr>
          <w:rFonts w:cs="Helvetica"/>
        </w:rPr>
      </w:pPr>
      <w:r w:rsidRPr="008E33DF">
        <w:rPr>
          <w:rFonts w:cs="Helvetica"/>
        </w:rPr>
        <w:t>Ik wens u veel plezier tijdens het lezen.</w:t>
      </w:r>
    </w:p>
    <w:p w:rsidR="00EC62C2" w:rsidRPr="008E33DF" w:rsidRDefault="00EC62C2">
      <w:pPr>
        <w:rPr>
          <w:rFonts w:cs="Helvetica"/>
        </w:rPr>
      </w:pPr>
    </w:p>
    <w:p w:rsidR="00EC62C2" w:rsidRPr="008E33DF" w:rsidRDefault="00EC62C2">
      <w:pPr>
        <w:rPr>
          <w:rFonts w:cs="Helvetica"/>
        </w:rPr>
      </w:pPr>
    </w:p>
    <w:p w:rsidR="00EC62C2" w:rsidRPr="008E33DF" w:rsidRDefault="00EC62C2">
      <w:pPr>
        <w:rPr>
          <w:rFonts w:cs="Helvetica"/>
        </w:rPr>
      </w:pPr>
      <w:r w:rsidRPr="008E33DF">
        <w:rPr>
          <w:rFonts w:cs="Helvetica"/>
        </w:rPr>
        <w:t>Erkan Alanyurt</w:t>
      </w:r>
    </w:p>
    <w:p w:rsidR="00EC62C2" w:rsidRPr="008E33DF" w:rsidRDefault="001704F2">
      <w:pPr>
        <w:rPr>
          <w:rFonts w:cs="Helvetica"/>
        </w:rPr>
      </w:pPr>
      <w:r w:rsidRPr="008E33DF">
        <w:rPr>
          <w:rFonts w:cs="Helvetica"/>
        </w:rPr>
        <w:t xml:space="preserve">21 juni </w:t>
      </w:r>
      <w:r w:rsidR="00EC62C2" w:rsidRPr="008E33DF">
        <w:rPr>
          <w:rFonts w:cs="Helvetica"/>
        </w:rPr>
        <w:t>2016</w:t>
      </w: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rsidP="005E7558">
      <w:pPr>
        <w:pStyle w:val="Kop1"/>
      </w:pPr>
      <w:bookmarkStart w:id="1" w:name="_Toc454253630"/>
      <w:r w:rsidRPr="008E33DF">
        <w:t>Samenvatting</w:t>
      </w:r>
      <w:bookmarkEnd w:id="1"/>
    </w:p>
    <w:p w:rsidR="00AA796C" w:rsidRPr="008E33DF" w:rsidRDefault="00743560">
      <w:pPr>
        <w:rPr>
          <w:rFonts w:cs="Helvetica"/>
        </w:rPr>
      </w:pPr>
      <w:r w:rsidRPr="008E33DF">
        <w:rPr>
          <w:rFonts w:cs="Helvetica"/>
        </w:rPr>
        <w:t>Een huurovereenkomst van woonruimte die is aangegaan voor een bepaalde tijd</w:t>
      </w:r>
      <w:r w:rsidR="00DE20AD" w:rsidRPr="008E33DF">
        <w:rPr>
          <w:rFonts w:cs="Helvetica"/>
        </w:rPr>
        <w:t>,eindigt</w:t>
      </w:r>
      <w:r w:rsidRPr="008E33DF">
        <w:rPr>
          <w:rFonts w:cs="Helvetica"/>
        </w:rPr>
        <w:t xml:space="preserve"> door opzegging op grond van art. 7:271 l</w:t>
      </w:r>
      <w:r w:rsidR="00DE20AD" w:rsidRPr="008E33DF">
        <w:rPr>
          <w:rFonts w:cs="Helvetica"/>
        </w:rPr>
        <w:t>id 1 BW. Bij de opzegging door de verhuurder, dient de verhuurder in de</w:t>
      </w:r>
      <w:r w:rsidRPr="008E33DF">
        <w:rPr>
          <w:rFonts w:cs="Helvetica"/>
        </w:rPr>
        <w:t xml:space="preserve"> opzegging</w:t>
      </w:r>
      <w:r w:rsidR="00DE20AD" w:rsidRPr="008E33DF">
        <w:rPr>
          <w:rFonts w:cs="Helvetica"/>
        </w:rPr>
        <w:t>s</w:t>
      </w:r>
      <w:r w:rsidRPr="008E33DF">
        <w:rPr>
          <w:rFonts w:cs="Helvetica"/>
        </w:rPr>
        <w:t>brief een opzeggingsgrond op</w:t>
      </w:r>
      <w:r w:rsidR="00DE20AD" w:rsidRPr="008E33DF">
        <w:rPr>
          <w:rFonts w:cs="Helvetica"/>
        </w:rPr>
        <w:t xml:space="preserve"> te </w:t>
      </w:r>
      <w:r w:rsidRPr="008E33DF">
        <w:rPr>
          <w:rFonts w:cs="Helvetica"/>
        </w:rPr>
        <w:t xml:space="preserve">nemen zoals genoemd in art. 7:274 lid 4 BW. Indien de huurder niet instemt met de opzegging </w:t>
      </w:r>
      <w:r w:rsidR="00DE20AD" w:rsidRPr="008E33DF">
        <w:rPr>
          <w:rFonts w:cs="Helvetica"/>
        </w:rPr>
        <w:t>door</w:t>
      </w:r>
      <w:r w:rsidR="0026711B" w:rsidRPr="008E33DF">
        <w:rPr>
          <w:rFonts w:cs="Helvetica"/>
        </w:rPr>
        <w:t xml:space="preserve"> de</w:t>
      </w:r>
      <w:r w:rsidRPr="008E33DF">
        <w:rPr>
          <w:rFonts w:cs="Helvetica"/>
        </w:rPr>
        <w:t xml:space="preserve"> verhuurder</w:t>
      </w:r>
      <w:r w:rsidR="00DE20AD" w:rsidRPr="008E33DF">
        <w:rPr>
          <w:rFonts w:cs="Helvetica"/>
        </w:rPr>
        <w:t>,</w:t>
      </w:r>
      <w:r w:rsidRPr="008E33DF">
        <w:rPr>
          <w:rFonts w:cs="Helvetica"/>
        </w:rPr>
        <w:t xml:space="preserve"> kan de huurovereenkomst slechts</w:t>
      </w:r>
      <w:r w:rsidR="00DE20AD" w:rsidRPr="008E33DF">
        <w:rPr>
          <w:rFonts w:cs="Helvetica"/>
        </w:rPr>
        <w:t xml:space="preserve"> worden</w:t>
      </w:r>
      <w:r w:rsidRPr="008E33DF">
        <w:rPr>
          <w:rFonts w:cs="Helvetica"/>
        </w:rPr>
        <w:t xml:space="preserve"> beëindigen door </w:t>
      </w:r>
      <w:r w:rsidR="0026711B" w:rsidRPr="008E33DF">
        <w:rPr>
          <w:rFonts w:cs="Helvetica"/>
        </w:rPr>
        <w:t>een rechterlijke uitspraak. Bij zijn beroep moet de verhuurder dezelfde gronden aanvoeren</w:t>
      </w:r>
      <w:r w:rsidR="00DE20AD" w:rsidRPr="008E33DF">
        <w:rPr>
          <w:rFonts w:cs="Helvetica"/>
        </w:rPr>
        <w:t>,</w:t>
      </w:r>
      <w:r w:rsidR="0026711B" w:rsidRPr="008E33DF">
        <w:rPr>
          <w:rFonts w:cs="Helvetica"/>
        </w:rPr>
        <w:t xml:space="preserve"> die hij heeft genoemd in zijn opzeggingsbrief. Indien de rechter oordeelt dat de huurovereenkomst niet rechtvaardig is opgezegd kan de</w:t>
      </w:r>
      <w:r w:rsidR="00DE20AD" w:rsidRPr="008E33DF">
        <w:rPr>
          <w:rFonts w:cs="Helvetica"/>
        </w:rPr>
        <w:t>ze</w:t>
      </w:r>
      <w:r w:rsidR="0026711B" w:rsidRPr="008E33DF">
        <w:rPr>
          <w:rFonts w:cs="Helvetica"/>
        </w:rPr>
        <w:t xml:space="preserve"> worden verlengd met onbepaalde tijd. De verhuurder zit dan vast aan de huurder</w:t>
      </w:r>
      <w:r w:rsidR="00DE20AD" w:rsidRPr="008E33DF">
        <w:rPr>
          <w:rFonts w:cs="Helvetica"/>
        </w:rPr>
        <w:t>,</w:t>
      </w:r>
      <w:r w:rsidR="0026711B" w:rsidRPr="008E33DF">
        <w:rPr>
          <w:rFonts w:cs="Helvetica"/>
        </w:rPr>
        <w:t xml:space="preserve"> terwijl hij zijn woonruimte voor bepaalde tijd wilde verhuren. Hoe kan de verhuurder zijn woning wel verhuren voor een korte periode</w:t>
      </w:r>
      <w:r w:rsidR="00DE20AD" w:rsidRPr="008E33DF">
        <w:rPr>
          <w:rFonts w:cs="Helvetica"/>
        </w:rPr>
        <w:t>,</w:t>
      </w:r>
      <w:r w:rsidR="0026711B" w:rsidRPr="008E33DF">
        <w:rPr>
          <w:rFonts w:cs="Helvetica"/>
        </w:rPr>
        <w:t xml:space="preserve"> zonder risico te lopen </w:t>
      </w:r>
      <w:r w:rsidR="00DE20AD" w:rsidRPr="008E33DF">
        <w:rPr>
          <w:rFonts w:cs="Helvetica"/>
        </w:rPr>
        <w:t>dat hij aan de huurder vast zit?</w:t>
      </w:r>
      <w:r w:rsidR="0026711B" w:rsidRPr="008E33DF">
        <w:rPr>
          <w:rFonts w:cs="Helvetica"/>
        </w:rPr>
        <w:t xml:space="preserve"> Onze Advoca</w:t>
      </w:r>
      <w:r w:rsidR="00DE20AD" w:rsidRPr="008E33DF">
        <w:rPr>
          <w:rFonts w:cs="Helvetica"/>
        </w:rPr>
        <w:t>at</w:t>
      </w:r>
      <w:r w:rsidR="0026711B" w:rsidRPr="008E33DF">
        <w:rPr>
          <w:rFonts w:cs="Helvetica"/>
        </w:rPr>
        <w:t xml:space="preserve"> zoekt een antwoord op deze vraag. </w:t>
      </w:r>
    </w:p>
    <w:p w:rsidR="00AA796C" w:rsidRPr="008E33DF" w:rsidRDefault="00AA796C">
      <w:pPr>
        <w:rPr>
          <w:rFonts w:cs="Helvetica"/>
        </w:rPr>
      </w:pPr>
    </w:p>
    <w:p w:rsidR="00AA6200" w:rsidRPr="008E33DF" w:rsidRDefault="00AA796C">
      <w:pPr>
        <w:rPr>
          <w:rFonts w:cs="Helvetica"/>
        </w:rPr>
      </w:pPr>
      <w:r w:rsidRPr="008E33DF">
        <w:rPr>
          <w:rFonts w:cs="Helvetica"/>
        </w:rPr>
        <w:t xml:space="preserve">De strenge regels met betrekking tot de huurbescherming </w:t>
      </w:r>
      <w:r w:rsidR="00DE20AD" w:rsidRPr="008E33DF">
        <w:rPr>
          <w:rFonts w:cs="Helvetica"/>
        </w:rPr>
        <w:t>zijn</w:t>
      </w:r>
      <w:r w:rsidRPr="008E33DF">
        <w:rPr>
          <w:rFonts w:cs="Helvetica"/>
        </w:rPr>
        <w:t xml:space="preserve"> uitgezonderd voor de huurovereenkomst van woonruimte die naar zijn aard van korte duur is op grond van art. 7:232 li</w:t>
      </w:r>
      <w:r w:rsidR="00B06E0D" w:rsidRPr="008E33DF">
        <w:rPr>
          <w:rFonts w:cs="Helvetica"/>
        </w:rPr>
        <w:t>d</w:t>
      </w:r>
      <w:r w:rsidRPr="008E33DF">
        <w:rPr>
          <w:rFonts w:cs="Helvetica"/>
        </w:rPr>
        <w:t xml:space="preserve"> 2 BW. In dit onderzoek </w:t>
      </w:r>
      <w:r w:rsidR="00DE20AD" w:rsidRPr="008E33DF">
        <w:rPr>
          <w:rFonts w:cs="Helvetica"/>
        </w:rPr>
        <w:t>wordt</w:t>
      </w:r>
      <w:r w:rsidRPr="008E33DF">
        <w:rPr>
          <w:rFonts w:cs="Helvetica"/>
        </w:rPr>
        <w:t xml:space="preserve"> aan de hand van literatuur en jurisprudentie onderzocht </w:t>
      </w:r>
      <w:r w:rsidR="00B06E0D" w:rsidRPr="008E33DF">
        <w:rPr>
          <w:rFonts w:cs="Helvetica"/>
        </w:rPr>
        <w:t xml:space="preserve">welke feiten en omstandigheden doorslaggevend zijn bij de beoordeling van de rechter </w:t>
      </w:r>
      <w:r w:rsidR="00DE20AD" w:rsidRPr="008E33DF">
        <w:rPr>
          <w:rFonts w:cs="Helvetica"/>
        </w:rPr>
        <w:t>van</w:t>
      </w:r>
      <w:r w:rsidR="00B06E0D" w:rsidRPr="008E33DF">
        <w:rPr>
          <w:rFonts w:cs="Helvetica"/>
        </w:rPr>
        <w:t xml:space="preserve"> een beroep op </w:t>
      </w:r>
      <w:r w:rsidRPr="008E33DF">
        <w:rPr>
          <w:rFonts w:cs="Helvetica"/>
        </w:rPr>
        <w:t>art.</w:t>
      </w:r>
      <w:r w:rsidR="00B06E0D" w:rsidRPr="008E33DF">
        <w:rPr>
          <w:rFonts w:cs="Helvetica"/>
        </w:rPr>
        <w:t xml:space="preserve"> 7:232 lid 2 BW</w:t>
      </w:r>
      <w:r w:rsidRPr="008E33DF">
        <w:rPr>
          <w:rFonts w:cs="Helvetica"/>
        </w:rPr>
        <w:t xml:space="preserve">. </w:t>
      </w:r>
    </w:p>
    <w:p w:rsidR="00AA796C" w:rsidRPr="008E33DF" w:rsidRDefault="00AA796C">
      <w:pPr>
        <w:rPr>
          <w:rFonts w:cs="Helvetica"/>
        </w:rPr>
      </w:pPr>
    </w:p>
    <w:p w:rsidR="00B06E0D" w:rsidRPr="008E33DF" w:rsidRDefault="00AA796C">
      <w:pPr>
        <w:rPr>
          <w:rFonts w:cs="Helvetica"/>
        </w:rPr>
      </w:pPr>
      <w:r w:rsidRPr="008E33DF">
        <w:rPr>
          <w:rFonts w:cs="Helvetica"/>
        </w:rPr>
        <w:t xml:space="preserve">Uit literatuuronderzoek is gebleken dat de wetgever heeft </w:t>
      </w:r>
      <w:r w:rsidR="00DE20AD" w:rsidRPr="008E33DF">
        <w:rPr>
          <w:rFonts w:cs="Helvetica"/>
        </w:rPr>
        <w:t>beoogd,</w:t>
      </w:r>
      <w:r w:rsidRPr="008E33DF">
        <w:rPr>
          <w:rFonts w:cs="Helvetica"/>
        </w:rPr>
        <w:t xml:space="preserve"> dat rechters zich </w:t>
      </w:r>
      <w:r w:rsidR="00DE20AD" w:rsidRPr="008E33DF">
        <w:rPr>
          <w:rFonts w:cs="Helvetica"/>
        </w:rPr>
        <w:t xml:space="preserve">terughoudend opstellen </w:t>
      </w:r>
      <w:r w:rsidRPr="008E33DF">
        <w:rPr>
          <w:rFonts w:cs="Helvetica"/>
        </w:rPr>
        <w:t>bij het toewijzen van een beroep op de uitzonderingsbepaling</w:t>
      </w:r>
      <w:r w:rsidR="00DE20AD" w:rsidRPr="008E33DF">
        <w:rPr>
          <w:rFonts w:cs="Helvetica"/>
        </w:rPr>
        <w:t xml:space="preserve">. </w:t>
      </w:r>
      <w:r w:rsidRPr="008E33DF">
        <w:rPr>
          <w:rFonts w:cs="Helvetica"/>
        </w:rPr>
        <w:t>Het moet gaan om de gevallen waarbij het voor iedereen duidelijk is</w:t>
      </w:r>
      <w:r w:rsidR="00DE20AD" w:rsidRPr="008E33DF">
        <w:rPr>
          <w:rFonts w:cs="Helvetica"/>
        </w:rPr>
        <w:t>,</w:t>
      </w:r>
      <w:r w:rsidRPr="008E33DF">
        <w:rPr>
          <w:rFonts w:cs="Helvetica"/>
        </w:rPr>
        <w:t xml:space="preserve"> dat een beroep op de huurbescherming niet </w:t>
      </w:r>
      <w:r w:rsidR="00B06E0D" w:rsidRPr="008E33DF">
        <w:rPr>
          <w:rFonts w:cs="Helvetica"/>
        </w:rPr>
        <w:t>redelijk is. De beoogde terughoudendheid wordt gevolgd door de rechters. Volgens vaste rechtspraak dient bij de beoordeling van een beroep op de uitzonderingsbepaling getoetst</w:t>
      </w:r>
      <w:r w:rsidR="00DE20AD" w:rsidRPr="008E33DF">
        <w:rPr>
          <w:rFonts w:cs="Helvetica"/>
        </w:rPr>
        <w:t xml:space="preserve"> te</w:t>
      </w:r>
      <w:r w:rsidR="00B06E0D" w:rsidRPr="008E33DF">
        <w:rPr>
          <w:rFonts w:cs="Helvetica"/>
        </w:rPr>
        <w:t xml:space="preserve"> worden op een viertal beoordelingsfactoren, namelijk op de aard van het gehuurde, </w:t>
      </w:r>
      <w:r w:rsidR="00DE20AD" w:rsidRPr="008E33DF">
        <w:rPr>
          <w:rFonts w:cs="Helvetica"/>
        </w:rPr>
        <w:t xml:space="preserve">de </w:t>
      </w:r>
      <w:r w:rsidR="00B06E0D" w:rsidRPr="008E33DF">
        <w:rPr>
          <w:rFonts w:cs="Helvetica"/>
        </w:rPr>
        <w:t xml:space="preserve">aard van het gebruik, </w:t>
      </w:r>
      <w:r w:rsidR="00DE20AD" w:rsidRPr="008E33DF">
        <w:rPr>
          <w:rFonts w:cs="Helvetica"/>
        </w:rPr>
        <w:t xml:space="preserve">de </w:t>
      </w:r>
      <w:r w:rsidR="00B06E0D" w:rsidRPr="008E33DF">
        <w:rPr>
          <w:rFonts w:cs="Helvetica"/>
        </w:rPr>
        <w:t xml:space="preserve">bedoelingen van partijen en de effectuering hiervan en de duur van het gebruik. </w:t>
      </w:r>
    </w:p>
    <w:p w:rsidR="00B06E0D" w:rsidRPr="008E33DF" w:rsidRDefault="00B06E0D">
      <w:pPr>
        <w:rPr>
          <w:rFonts w:cs="Helvetica"/>
        </w:rPr>
      </w:pPr>
    </w:p>
    <w:p w:rsidR="007253CC" w:rsidRPr="008E33DF" w:rsidRDefault="00B06E0D">
      <w:pPr>
        <w:rPr>
          <w:rFonts w:cs="Helvetica"/>
        </w:rPr>
      </w:pPr>
      <w:r w:rsidRPr="008E33DF">
        <w:rPr>
          <w:rFonts w:cs="Helvetica"/>
        </w:rPr>
        <w:t>Uit jur</w:t>
      </w:r>
      <w:r w:rsidR="007253CC" w:rsidRPr="008E33DF">
        <w:rPr>
          <w:rFonts w:cs="Helvetica"/>
        </w:rPr>
        <w:t>isprudentieonderzoek is gebleken dat de rechters altijd toetsen op de vier hiervoor genoemde beoordelingsfactoren. De rechter hoeft niet te toetsen op alle beoordelingsfactoren om tot een oordeel te komen. Zo is voor de rechter voldoende om het beroep af te wijzen indien op grond van de toetsing op een van de beoordelingsfactoren aanleiding bestaat om de huurovereenkomst te kwalificeren als een reguliere huur. Het is hierom belangrijk om te weten welke feiten en omstandigheden doorslaggevend zijn voor de beoordeling van de rechter bij het toetsen op de beoordelingsfactoren.</w:t>
      </w:r>
    </w:p>
    <w:p w:rsidR="007253CC" w:rsidRPr="008E33DF" w:rsidRDefault="007253CC">
      <w:pPr>
        <w:rPr>
          <w:rFonts w:cs="Helvetica"/>
        </w:rPr>
      </w:pPr>
    </w:p>
    <w:p w:rsidR="007253CC" w:rsidRPr="008E33DF" w:rsidRDefault="007253CC">
      <w:pPr>
        <w:rPr>
          <w:rFonts w:cs="Helvetica"/>
        </w:rPr>
      </w:pPr>
      <w:r w:rsidRPr="008E33DF">
        <w:rPr>
          <w:rFonts w:cs="Helvetica"/>
        </w:rPr>
        <w:t>Bij de toetsing van de rechter op de aard van het gehuurde kijkt de rechter vooral of het gehuurde enige bijzonderheden bevat welke aanleiding kan geven dat de huurovereenkomst te kwalificeren is als een huurovereenkomst die naar zijn aard van korte duur is. Hierbij is de slechte staat van de woonruimte een belangrijke criterium.</w:t>
      </w:r>
    </w:p>
    <w:p w:rsidR="007253CC" w:rsidRPr="008E33DF" w:rsidRDefault="007253CC">
      <w:pPr>
        <w:rPr>
          <w:rFonts w:cs="Helvetica"/>
        </w:rPr>
      </w:pPr>
    </w:p>
    <w:p w:rsidR="007253CC" w:rsidRPr="008E33DF" w:rsidRDefault="006C7905">
      <w:pPr>
        <w:rPr>
          <w:rFonts w:cs="Helvetica"/>
        </w:rPr>
      </w:pPr>
      <w:r w:rsidRPr="008E33DF">
        <w:rPr>
          <w:rFonts w:cs="Helvetica"/>
        </w:rPr>
        <w:lastRenderedPageBreak/>
        <w:t>Vervolgens is gebleken dat b</w:t>
      </w:r>
      <w:r w:rsidR="007253CC" w:rsidRPr="008E33DF">
        <w:rPr>
          <w:rFonts w:cs="Helvetica"/>
        </w:rPr>
        <w:t xml:space="preserve">ij de toetsing op de aard van het gebruik </w:t>
      </w:r>
      <w:r w:rsidRPr="008E33DF">
        <w:rPr>
          <w:rFonts w:cs="Helvetica"/>
        </w:rPr>
        <w:t xml:space="preserve">de rechter vooral kijkt of er een omstandigheid bestaat waardoor de woonruimte niet op lange termijn bewoond kan worden. Een woonruimte die op de nominatie staat voor sloop is bijvoorbeeld slechts beschikbaar tot aan de aanvang van de beoogde sloop. </w:t>
      </w:r>
    </w:p>
    <w:p w:rsidR="006C7905" w:rsidRPr="008E33DF" w:rsidRDefault="006C7905">
      <w:pPr>
        <w:rPr>
          <w:rFonts w:cs="Helvetica"/>
        </w:rPr>
      </w:pPr>
    </w:p>
    <w:p w:rsidR="006C7905" w:rsidRPr="008E33DF" w:rsidRDefault="006C7905">
      <w:pPr>
        <w:rPr>
          <w:rFonts w:cs="Helvetica"/>
        </w:rPr>
      </w:pPr>
      <w:r w:rsidRPr="008E33DF">
        <w:rPr>
          <w:rFonts w:cs="Helvetica"/>
        </w:rPr>
        <w:t>De bedoelingen van partijen moet naar de oordeel van de rechter vooral blijken uit de huurovereenkomst. Hierin moet de tijdelijke aard van de huur duidelijk naar voren komen. Ook moet blijken uit de huurovereenkomst dat beide partijen ook bedoeld hebben om een huurovereenkomst te sluiten die van korte duur is.</w:t>
      </w:r>
    </w:p>
    <w:p w:rsidR="006C7905" w:rsidRPr="008E33DF" w:rsidRDefault="006C7905">
      <w:pPr>
        <w:rPr>
          <w:rFonts w:cs="Helvetica"/>
        </w:rPr>
      </w:pPr>
    </w:p>
    <w:p w:rsidR="006C7905" w:rsidRPr="008E33DF" w:rsidRDefault="006C7905">
      <w:pPr>
        <w:rPr>
          <w:rFonts w:cs="Helvetica"/>
        </w:rPr>
      </w:pPr>
      <w:r w:rsidRPr="008E33DF">
        <w:rPr>
          <w:rFonts w:cs="Helvetica"/>
        </w:rPr>
        <w:t>Ten slotte valt over de toetsing op de duur van het gebruik te zeggen dat de stilzwijgende verlenging van de huurovereenkomst een zeer doorslaggevende omstandigheid is in de beoordeling van de rechter. Een huurovereenkomst die stilzwijgend wordt verlengd, wordt verlengd voor onbepaalde tijd. Deze omstandigheid zorgt er voor dat de huurovereenkomst zijn tijdelijke karakter verliest.</w:t>
      </w: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AA6200" w:rsidRPr="008E33DF" w:rsidRDefault="00AA6200">
      <w:pPr>
        <w:rPr>
          <w:rFonts w:cs="Helvetica"/>
          <w:i/>
        </w:rPr>
      </w:pPr>
    </w:p>
    <w:p w:rsidR="006C7905" w:rsidRPr="008E33DF" w:rsidRDefault="006C7905" w:rsidP="005E7558">
      <w:pPr>
        <w:rPr>
          <w:b/>
          <w:color w:val="17365D" w:themeColor="text2" w:themeShade="BF"/>
          <w:sz w:val="28"/>
          <w:szCs w:val="28"/>
        </w:rPr>
      </w:pPr>
    </w:p>
    <w:p w:rsidR="006C7905" w:rsidRPr="008E33DF" w:rsidRDefault="006C7905" w:rsidP="005E7558">
      <w:pPr>
        <w:rPr>
          <w:b/>
          <w:color w:val="17365D" w:themeColor="text2" w:themeShade="BF"/>
          <w:sz w:val="28"/>
          <w:szCs w:val="28"/>
        </w:rPr>
      </w:pPr>
    </w:p>
    <w:p w:rsidR="006C7905" w:rsidRPr="008E33DF" w:rsidRDefault="006C7905" w:rsidP="005E7558">
      <w:pPr>
        <w:rPr>
          <w:b/>
          <w:color w:val="17365D" w:themeColor="text2" w:themeShade="BF"/>
          <w:sz w:val="28"/>
          <w:szCs w:val="28"/>
        </w:rPr>
      </w:pPr>
    </w:p>
    <w:p w:rsidR="006C7905" w:rsidRPr="008E33DF" w:rsidRDefault="006C7905" w:rsidP="005E7558">
      <w:pPr>
        <w:rPr>
          <w:b/>
          <w:color w:val="17365D" w:themeColor="text2" w:themeShade="BF"/>
          <w:sz w:val="28"/>
          <w:szCs w:val="28"/>
        </w:rPr>
      </w:pPr>
    </w:p>
    <w:p w:rsidR="006C7905" w:rsidRPr="008E33DF" w:rsidRDefault="006C7905" w:rsidP="005E7558">
      <w:pPr>
        <w:rPr>
          <w:b/>
          <w:color w:val="17365D" w:themeColor="text2" w:themeShade="BF"/>
          <w:sz w:val="28"/>
          <w:szCs w:val="28"/>
        </w:rPr>
      </w:pPr>
    </w:p>
    <w:p w:rsidR="006C7905" w:rsidRPr="008E33DF" w:rsidRDefault="006C7905" w:rsidP="005E7558">
      <w:pPr>
        <w:rPr>
          <w:b/>
          <w:color w:val="17365D" w:themeColor="text2" w:themeShade="BF"/>
          <w:sz w:val="28"/>
          <w:szCs w:val="28"/>
        </w:rPr>
      </w:pPr>
    </w:p>
    <w:p w:rsidR="006C7905" w:rsidRPr="008E33DF" w:rsidRDefault="006C7905" w:rsidP="005E7558">
      <w:pPr>
        <w:rPr>
          <w:b/>
          <w:color w:val="17365D" w:themeColor="text2" w:themeShade="BF"/>
          <w:sz w:val="28"/>
          <w:szCs w:val="28"/>
        </w:rPr>
      </w:pPr>
    </w:p>
    <w:p w:rsidR="006C7905" w:rsidRPr="008E33DF" w:rsidRDefault="006C7905" w:rsidP="005E7558">
      <w:pPr>
        <w:rPr>
          <w:b/>
          <w:color w:val="17365D" w:themeColor="text2" w:themeShade="BF"/>
          <w:sz w:val="28"/>
          <w:szCs w:val="28"/>
        </w:rPr>
      </w:pPr>
    </w:p>
    <w:p w:rsidR="006C7905" w:rsidRPr="008E33DF" w:rsidRDefault="006C7905" w:rsidP="005E7558">
      <w:pPr>
        <w:rPr>
          <w:b/>
          <w:color w:val="17365D" w:themeColor="text2" w:themeShade="BF"/>
          <w:sz w:val="28"/>
          <w:szCs w:val="28"/>
        </w:rPr>
      </w:pPr>
    </w:p>
    <w:p w:rsidR="006C7905" w:rsidRPr="008E33DF" w:rsidRDefault="006C7905" w:rsidP="005E7558">
      <w:pPr>
        <w:rPr>
          <w:b/>
          <w:color w:val="17365D" w:themeColor="text2" w:themeShade="BF"/>
          <w:sz w:val="28"/>
          <w:szCs w:val="28"/>
        </w:rPr>
      </w:pPr>
    </w:p>
    <w:p w:rsidR="006C7905" w:rsidRPr="008E33DF" w:rsidRDefault="006C7905" w:rsidP="005E7558">
      <w:pPr>
        <w:rPr>
          <w:b/>
          <w:color w:val="17365D" w:themeColor="text2" w:themeShade="BF"/>
          <w:sz w:val="28"/>
          <w:szCs w:val="28"/>
        </w:rPr>
      </w:pPr>
    </w:p>
    <w:p w:rsidR="006C7905" w:rsidRPr="008E33DF" w:rsidRDefault="006C7905" w:rsidP="005E7558">
      <w:pPr>
        <w:rPr>
          <w:b/>
          <w:color w:val="17365D" w:themeColor="text2" w:themeShade="BF"/>
          <w:sz w:val="28"/>
          <w:szCs w:val="28"/>
        </w:rPr>
      </w:pPr>
    </w:p>
    <w:p w:rsidR="006C7905" w:rsidRPr="008E33DF" w:rsidRDefault="006C7905" w:rsidP="005E7558">
      <w:pPr>
        <w:rPr>
          <w:b/>
          <w:color w:val="17365D" w:themeColor="text2" w:themeShade="BF"/>
          <w:sz w:val="28"/>
          <w:szCs w:val="28"/>
        </w:rPr>
      </w:pPr>
    </w:p>
    <w:sdt>
      <w:sdtPr>
        <w:rPr>
          <w:rFonts w:eastAsiaTheme="minorHAnsi" w:cstheme="minorBidi"/>
          <w:b w:val="0"/>
          <w:bCs w:val="0"/>
          <w:color w:val="auto"/>
          <w:sz w:val="20"/>
          <w:szCs w:val="22"/>
        </w:rPr>
        <w:id w:val="226439407"/>
        <w:docPartObj>
          <w:docPartGallery w:val="Table of Contents"/>
          <w:docPartUnique/>
        </w:docPartObj>
      </w:sdtPr>
      <w:sdtContent>
        <w:p w:rsidR="0058322C" w:rsidRPr="008E33DF" w:rsidRDefault="0058322C">
          <w:pPr>
            <w:pStyle w:val="Kopvaninhoudsopgave"/>
          </w:pPr>
          <w:r w:rsidRPr="008E33DF">
            <w:t>Inhoud</w:t>
          </w:r>
        </w:p>
        <w:p w:rsidR="003E7D4E" w:rsidRDefault="00104973">
          <w:pPr>
            <w:pStyle w:val="Inhopg1"/>
            <w:tabs>
              <w:tab w:val="right" w:leader="dot" w:pos="9062"/>
            </w:tabs>
            <w:rPr>
              <w:rFonts w:asciiTheme="minorHAnsi" w:eastAsiaTheme="minorEastAsia" w:hAnsiTheme="minorHAnsi"/>
              <w:noProof/>
              <w:sz w:val="22"/>
              <w:lang w:eastAsia="nl-NL"/>
            </w:rPr>
          </w:pPr>
          <w:r w:rsidRPr="008E33DF">
            <w:fldChar w:fldCharType="begin"/>
          </w:r>
          <w:r w:rsidR="0058322C" w:rsidRPr="008E33DF">
            <w:instrText xml:space="preserve"> TOC \o "1-3" \h \z \u </w:instrText>
          </w:r>
          <w:r w:rsidRPr="008E33DF">
            <w:fldChar w:fldCharType="separate"/>
          </w:r>
          <w:hyperlink w:anchor="_Toc454253629" w:history="1">
            <w:r w:rsidR="003E7D4E" w:rsidRPr="00D63D23">
              <w:rPr>
                <w:rStyle w:val="Hyperlink"/>
                <w:noProof/>
              </w:rPr>
              <w:t>Voorwoord</w:t>
            </w:r>
            <w:r w:rsidR="003E7D4E">
              <w:rPr>
                <w:noProof/>
                <w:webHidden/>
              </w:rPr>
              <w:tab/>
            </w:r>
            <w:r>
              <w:rPr>
                <w:noProof/>
                <w:webHidden/>
              </w:rPr>
              <w:fldChar w:fldCharType="begin"/>
            </w:r>
            <w:r w:rsidR="003E7D4E">
              <w:rPr>
                <w:noProof/>
                <w:webHidden/>
              </w:rPr>
              <w:instrText xml:space="preserve"> PAGEREF _Toc454253629 \h </w:instrText>
            </w:r>
            <w:r>
              <w:rPr>
                <w:noProof/>
                <w:webHidden/>
              </w:rPr>
            </w:r>
            <w:r>
              <w:rPr>
                <w:noProof/>
                <w:webHidden/>
              </w:rPr>
              <w:fldChar w:fldCharType="separate"/>
            </w:r>
            <w:r w:rsidR="004A0F8D">
              <w:rPr>
                <w:noProof/>
                <w:webHidden/>
              </w:rPr>
              <w:t>2</w:t>
            </w:r>
            <w:r>
              <w:rPr>
                <w:noProof/>
                <w:webHidden/>
              </w:rPr>
              <w:fldChar w:fldCharType="end"/>
            </w:r>
          </w:hyperlink>
        </w:p>
        <w:p w:rsidR="003E7D4E" w:rsidRDefault="00104973">
          <w:pPr>
            <w:pStyle w:val="Inhopg1"/>
            <w:tabs>
              <w:tab w:val="right" w:leader="dot" w:pos="9062"/>
            </w:tabs>
            <w:rPr>
              <w:rFonts w:asciiTheme="minorHAnsi" w:eastAsiaTheme="minorEastAsia" w:hAnsiTheme="minorHAnsi"/>
              <w:noProof/>
              <w:sz w:val="22"/>
              <w:lang w:eastAsia="nl-NL"/>
            </w:rPr>
          </w:pPr>
          <w:hyperlink w:anchor="_Toc454253630" w:history="1">
            <w:r w:rsidR="003E7D4E" w:rsidRPr="00D63D23">
              <w:rPr>
                <w:rStyle w:val="Hyperlink"/>
                <w:noProof/>
              </w:rPr>
              <w:t>Samenvatting</w:t>
            </w:r>
            <w:r w:rsidR="003E7D4E">
              <w:rPr>
                <w:noProof/>
                <w:webHidden/>
              </w:rPr>
              <w:tab/>
            </w:r>
            <w:r>
              <w:rPr>
                <w:noProof/>
                <w:webHidden/>
              </w:rPr>
              <w:fldChar w:fldCharType="begin"/>
            </w:r>
            <w:r w:rsidR="003E7D4E">
              <w:rPr>
                <w:noProof/>
                <w:webHidden/>
              </w:rPr>
              <w:instrText xml:space="preserve"> PAGEREF _Toc454253630 \h </w:instrText>
            </w:r>
            <w:r>
              <w:rPr>
                <w:noProof/>
                <w:webHidden/>
              </w:rPr>
            </w:r>
            <w:r>
              <w:rPr>
                <w:noProof/>
                <w:webHidden/>
              </w:rPr>
              <w:fldChar w:fldCharType="separate"/>
            </w:r>
            <w:r w:rsidR="004A0F8D">
              <w:rPr>
                <w:noProof/>
                <w:webHidden/>
              </w:rPr>
              <w:t>3</w:t>
            </w:r>
            <w:r>
              <w:rPr>
                <w:noProof/>
                <w:webHidden/>
              </w:rPr>
              <w:fldChar w:fldCharType="end"/>
            </w:r>
          </w:hyperlink>
        </w:p>
        <w:p w:rsidR="003E7D4E" w:rsidRDefault="00104973">
          <w:pPr>
            <w:pStyle w:val="Inhopg1"/>
            <w:tabs>
              <w:tab w:val="right" w:leader="dot" w:pos="9062"/>
            </w:tabs>
            <w:rPr>
              <w:rFonts w:asciiTheme="minorHAnsi" w:eastAsiaTheme="minorEastAsia" w:hAnsiTheme="minorHAnsi"/>
              <w:noProof/>
              <w:sz w:val="22"/>
              <w:lang w:eastAsia="nl-NL"/>
            </w:rPr>
          </w:pPr>
          <w:hyperlink w:anchor="_Toc454253631" w:history="1">
            <w:r w:rsidR="003E7D4E" w:rsidRPr="00D63D23">
              <w:rPr>
                <w:rStyle w:val="Hyperlink"/>
                <w:noProof/>
              </w:rPr>
              <w:t>Lijst van gebruikte afkortingen</w:t>
            </w:r>
            <w:r w:rsidR="003E7D4E">
              <w:rPr>
                <w:noProof/>
                <w:webHidden/>
              </w:rPr>
              <w:tab/>
            </w:r>
            <w:r>
              <w:rPr>
                <w:noProof/>
                <w:webHidden/>
              </w:rPr>
              <w:fldChar w:fldCharType="begin"/>
            </w:r>
            <w:r w:rsidR="003E7D4E">
              <w:rPr>
                <w:noProof/>
                <w:webHidden/>
              </w:rPr>
              <w:instrText xml:space="preserve"> PAGEREF _Toc454253631 \h </w:instrText>
            </w:r>
            <w:r>
              <w:rPr>
                <w:noProof/>
                <w:webHidden/>
              </w:rPr>
            </w:r>
            <w:r>
              <w:rPr>
                <w:noProof/>
                <w:webHidden/>
              </w:rPr>
              <w:fldChar w:fldCharType="separate"/>
            </w:r>
            <w:r w:rsidR="004A0F8D">
              <w:rPr>
                <w:noProof/>
                <w:webHidden/>
              </w:rPr>
              <w:t>7</w:t>
            </w:r>
            <w:r>
              <w:rPr>
                <w:noProof/>
                <w:webHidden/>
              </w:rPr>
              <w:fldChar w:fldCharType="end"/>
            </w:r>
          </w:hyperlink>
        </w:p>
        <w:p w:rsidR="003E7D4E" w:rsidRDefault="00104973">
          <w:pPr>
            <w:pStyle w:val="Inhopg1"/>
            <w:tabs>
              <w:tab w:val="right" w:leader="dot" w:pos="9062"/>
            </w:tabs>
            <w:rPr>
              <w:rFonts w:asciiTheme="minorHAnsi" w:eastAsiaTheme="minorEastAsia" w:hAnsiTheme="minorHAnsi"/>
              <w:noProof/>
              <w:sz w:val="22"/>
              <w:lang w:eastAsia="nl-NL"/>
            </w:rPr>
          </w:pPr>
          <w:hyperlink w:anchor="_Toc454253632" w:history="1">
            <w:r w:rsidR="003E7D4E" w:rsidRPr="00D63D23">
              <w:rPr>
                <w:rStyle w:val="Hyperlink"/>
                <w:noProof/>
              </w:rPr>
              <w:t>1. Inleiding</w:t>
            </w:r>
            <w:r w:rsidR="003E7D4E">
              <w:rPr>
                <w:noProof/>
                <w:webHidden/>
              </w:rPr>
              <w:tab/>
            </w:r>
            <w:r>
              <w:rPr>
                <w:noProof/>
                <w:webHidden/>
              </w:rPr>
              <w:fldChar w:fldCharType="begin"/>
            </w:r>
            <w:r w:rsidR="003E7D4E">
              <w:rPr>
                <w:noProof/>
                <w:webHidden/>
              </w:rPr>
              <w:instrText xml:space="preserve"> PAGEREF _Toc454253632 \h </w:instrText>
            </w:r>
            <w:r>
              <w:rPr>
                <w:noProof/>
                <w:webHidden/>
              </w:rPr>
            </w:r>
            <w:r>
              <w:rPr>
                <w:noProof/>
                <w:webHidden/>
              </w:rPr>
              <w:fldChar w:fldCharType="separate"/>
            </w:r>
            <w:r w:rsidR="004A0F8D">
              <w:rPr>
                <w:noProof/>
                <w:webHidden/>
              </w:rPr>
              <w:t>8</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33" w:history="1">
            <w:r w:rsidR="003E7D4E" w:rsidRPr="00D63D23">
              <w:rPr>
                <w:rStyle w:val="Hyperlink"/>
                <w:noProof/>
              </w:rPr>
              <w:t>1.1 Aanleiding onderzoek en probleemanalyse</w:t>
            </w:r>
            <w:r w:rsidR="003E7D4E">
              <w:rPr>
                <w:noProof/>
                <w:webHidden/>
              </w:rPr>
              <w:tab/>
            </w:r>
            <w:r>
              <w:rPr>
                <w:noProof/>
                <w:webHidden/>
              </w:rPr>
              <w:fldChar w:fldCharType="begin"/>
            </w:r>
            <w:r w:rsidR="003E7D4E">
              <w:rPr>
                <w:noProof/>
                <w:webHidden/>
              </w:rPr>
              <w:instrText xml:space="preserve"> PAGEREF _Toc454253633 \h </w:instrText>
            </w:r>
            <w:r>
              <w:rPr>
                <w:noProof/>
                <w:webHidden/>
              </w:rPr>
            </w:r>
            <w:r>
              <w:rPr>
                <w:noProof/>
                <w:webHidden/>
              </w:rPr>
              <w:fldChar w:fldCharType="separate"/>
            </w:r>
            <w:r w:rsidR="004A0F8D">
              <w:rPr>
                <w:noProof/>
                <w:webHidden/>
              </w:rPr>
              <w:t>8</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34" w:history="1">
            <w:r w:rsidR="003E7D4E" w:rsidRPr="00D63D23">
              <w:rPr>
                <w:rStyle w:val="Hyperlink"/>
                <w:noProof/>
              </w:rPr>
              <w:t>1.2 Afbakening</w:t>
            </w:r>
            <w:r w:rsidR="003E7D4E">
              <w:rPr>
                <w:noProof/>
                <w:webHidden/>
              </w:rPr>
              <w:tab/>
            </w:r>
            <w:r>
              <w:rPr>
                <w:noProof/>
                <w:webHidden/>
              </w:rPr>
              <w:fldChar w:fldCharType="begin"/>
            </w:r>
            <w:r w:rsidR="003E7D4E">
              <w:rPr>
                <w:noProof/>
                <w:webHidden/>
              </w:rPr>
              <w:instrText xml:space="preserve"> PAGEREF _Toc454253634 \h </w:instrText>
            </w:r>
            <w:r>
              <w:rPr>
                <w:noProof/>
                <w:webHidden/>
              </w:rPr>
            </w:r>
            <w:r>
              <w:rPr>
                <w:noProof/>
                <w:webHidden/>
              </w:rPr>
              <w:fldChar w:fldCharType="separate"/>
            </w:r>
            <w:r w:rsidR="004A0F8D">
              <w:rPr>
                <w:noProof/>
                <w:webHidden/>
              </w:rPr>
              <w:t>9</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35" w:history="1">
            <w:r w:rsidR="003E7D4E" w:rsidRPr="00D63D23">
              <w:rPr>
                <w:rStyle w:val="Hyperlink"/>
                <w:noProof/>
              </w:rPr>
              <w:t>1.3 Doelstelling, centrale vraag en deelvragen</w:t>
            </w:r>
            <w:r w:rsidR="003E7D4E">
              <w:rPr>
                <w:noProof/>
                <w:webHidden/>
              </w:rPr>
              <w:tab/>
            </w:r>
            <w:r>
              <w:rPr>
                <w:noProof/>
                <w:webHidden/>
              </w:rPr>
              <w:fldChar w:fldCharType="begin"/>
            </w:r>
            <w:r w:rsidR="003E7D4E">
              <w:rPr>
                <w:noProof/>
                <w:webHidden/>
              </w:rPr>
              <w:instrText xml:space="preserve"> PAGEREF _Toc454253635 \h </w:instrText>
            </w:r>
            <w:r>
              <w:rPr>
                <w:noProof/>
                <w:webHidden/>
              </w:rPr>
            </w:r>
            <w:r>
              <w:rPr>
                <w:noProof/>
                <w:webHidden/>
              </w:rPr>
              <w:fldChar w:fldCharType="separate"/>
            </w:r>
            <w:r w:rsidR="004A0F8D">
              <w:rPr>
                <w:noProof/>
                <w:webHidden/>
              </w:rPr>
              <w:t>9</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36" w:history="1">
            <w:r w:rsidR="003E7D4E" w:rsidRPr="00D63D23">
              <w:rPr>
                <w:rStyle w:val="Hyperlink"/>
                <w:noProof/>
              </w:rPr>
              <w:t>1.3.1 Doelstelling</w:t>
            </w:r>
            <w:r w:rsidR="003E7D4E">
              <w:rPr>
                <w:noProof/>
                <w:webHidden/>
              </w:rPr>
              <w:tab/>
            </w:r>
            <w:r>
              <w:rPr>
                <w:noProof/>
                <w:webHidden/>
              </w:rPr>
              <w:fldChar w:fldCharType="begin"/>
            </w:r>
            <w:r w:rsidR="003E7D4E">
              <w:rPr>
                <w:noProof/>
                <w:webHidden/>
              </w:rPr>
              <w:instrText xml:space="preserve"> PAGEREF _Toc454253636 \h </w:instrText>
            </w:r>
            <w:r>
              <w:rPr>
                <w:noProof/>
                <w:webHidden/>
              </w:rPr>
            </w:r>
            <w:r>
              <w:rPr>
                <w:noProof/>
                <w:webHidden/>
              </w:rPr>
              <w:fldChar w:fldCharType="separate"/>
            </w:r>
            <w:r w:rsidR="004A0F8D">
              <w:rPr>
                <w:noProof/>
                <w:webHidden/>
              </w:rPr>
              <w:t>9</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37" w:history="1">
            <w:r w:rsidR="003E7D4E" w:rsidRPr="00D63D23">
              <w:rPr>
                <w:rStyle w:val="Hyperlink"/>
                <w:noProof/>
              </w:rPr>
              <w:t>1.3.2 Centrale vraag</w:t>
            </w:r>
            <w:r w:rsidR="003E7D4E">
              <w:rPr>
                <w:noProof/>
                <w:webHidden/>
              </w:rPr>
              <w:tab/>
            </w:r>
            <w:r>
              <w:rPr>
                <w:noProof/>
                <w:webHidden/>
              </w:rPr>
              <w:fldChar w:fldCharType="begin"/>
            </w:r>
            <w:r w:rsidR="003E7D4E">
              <w:rPr>
                <w:noProof/>
                <w:webHidden/>
              </w:rPr>
              <w:instrText xml:space="preserve"> PAGEREF _Toc454253637 \h </w:instrText>
            </w:r>
            <w:r>
              <w:rPr>
                <w:noProof/>
                <w:webHidden/>
              </w:rPr>
            </w:r>
            <w:r>
              <w:rPr>
                <w:noProof/>
                <w:webHidden/>
              </w:rPr>
              <w:fldChar w:fldCharType="separate"/>
            </w:r>
            <w:r w:rsidR="004A0F8D">
              <w:rPr>
                <w:noProof/>
                <w:webHidden/>
              </w:rPr>
              <w:t>10</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38" w:history="1">
            <w:r w:rsidR="003E7D4E" w:rsidRPr="00D63D23">
              <w:rPr>
                <w:rStyle w:val="Hyperlink"/>
                <w:noProof/>
              </w:rPr>
              <w:t>1.3.3 Deelvragen</w:t>
            </w:r>
            <w:r w:rsidR="003E7D4E">
              <w:rPr>
                <w:noProof/>
                <w:webHidden/>
              </w:rPr>
              <w:tab/>
            </w:r>
            <w:r>
              <w:rPr>
                <w:noProof/>
                <w:webHidden/>
              </w:rPr>
              <w:fldChar w:fldCharType="begin"/>
            </w:r>
            <w:r w:rsidR="003E7D4E">
              <w:rPr>
                <w:noProof/>
                <w:webHidden/>
              </w:rPr>
              <w:instrText xml:space="preserve"> PAGEREF _Toc454253638 \h </w:instrText>
            </w:r>
            <w:r>
              <w:rPr>
                <w:noProof/>
                <w:webHidden/>
              </w:rPr>
            </w:r>
            <w:r>
              <w:rPr>
                <w:noProof/>
                <w:webHidden/>
              </w:rPr>
              <w:fldChar w:fldCharType="separate"/>
            </w:r>
            <w:r w:rsidR="004A0F8D">
              <w:rPr>
                <w:noProof/>
                <w:webHidden/>
              </w:rPr>
              <w:t>10</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39" w:history="1">
            <w:r w:rsidR="003E7D4E" w:rsidRPr="00D63D23">
              <w:rPr>
                <w:rStyle w:val="Hyperlink"/>
                <w:noProof/>
              </w:rPr>
              <w:t>1.4 Onderzoeksmethoden per deelvraag</w:t>
            </w:r>
            <w:r w:rsidR="003E7D4E">
              <w:rPr>
                <w:noProof/>
                <w:webHidden/>
              </w:rPr>
              <w:tab/>
            </w:r>
            <w:r>
              <w:rPr>
                <w:noProof/>
                <w:webHidden/>
              </w:rPr>
              <w:fldChar w:fldCharType="begin"/>
            </w:r>
            <w:r w:rsidR="003E7D4E">
              <w:rPr>
                <w:noProof/>
                <w:webHidden/>
              </w:rPr>
              <w:instrText xml:space="preserve"> PAGEREF _Toc454253639 \h </w:instrText>
            </w:r>
            <w:r>
              <w:rPr>
                <w:noProof/>
                <w:webHidden/>
              </w:rPr>
            </w:r>
            <w:r>
              <w:rPr>
                <w:noProof/>
                <w:webHidden/>
              </w:rPr>
              <w:fldChar w:fldCharType="separate"/>
            </w:r>
            <w:r w:rsidR="004A0F8D">
              <w:rPr>
                <w:noProof/>
                <w:webHidden/>
              </w:rPr>
              <w:t>10</w:t>
            </w:r>
            <w:r>
              <w:rPr>
                <w:noProof/>
                <w:webHidden/>
              </w:rPr>
              <w:fldChar w:fldCharType="end"/>
            </w:r>
          </w:hyperlink>
        </w:p>
        <w:p w:rsidR="003E7D4E" w:rsidRDefault="00104973">
          <w:pPr>
            <w:pStyle w:val="Inhopg1"/>
            <w:tabs>
              <w:tab w:val="right" w:leader="dot" w:pos="9062"/>
            </w:tabs>
            <w:rPr>
              <w:rFonts w:asciiTheme="minorHAnsi" w:eastAsiaTheme="minorEastAsia" w:hAnsiTheme="minorHAnsi"/>
              <w:noProof/>
              <w:sz w:val="22"/>
              <w:lang w:eastAsia="nl-NL"/>
            </w:rPr>
          </w:pPr>
          <w:hyperlink w:anchor="_Toc454253640" w:history="1">
            <w:r w:rsidR="003E7D4E" w:rsidRPr="00D63D23">
              <w:rPr>
                <w:rStyle w:val="Hyperlink"/>
                <w:noProof/>
              </w:rPr>
              <w:t>2. Verhuur van woonruimte</w:t>
            </w:r>
            <w:r w:rsidR="003E7D4E">
              <w:rPr>
                <w:noProof/>
                <w:webHidden/>
              </w:rPr>
              <w:tab/>
            </w:r>
            <w:r>
              <w:rPr>
                <w:noProof/>
                <w:webHidden/>
              </w:rPr>
              <w:fldChar w:fldCharType="begin"/>
            </w:r>
            <w:r w:rsidR="003E7D4E">
              <w:rPr>
                <w:noProof/>
                <w:webHidden/>
              </w:rPr>
              <w:instrText xml:space="preserve"> PAGEREF _Toc454253640 \h </w:instrText>
            </w:r>
            <w:r>
              <w:rPr>
                <w:noProof/>
                <w:webHidden/>
              </w:rPr>
            </w:r>
            <w:r>
              <w:rPr>
                <w:noProof/>
                <w:webHidden/>
              </w:rPr>
              <w:fldChar w:fldCharType="separate"/>
            </w:r>
            <w:r w:rsidR="004A0F8D">
              <w:rPr>
                <w:noProof/>
                <w:webHidden/>
              </w:rPr>
              <w:t>12</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41" w:history="1">
            <w:r w:rsidR="003E7D4E" w:rsidRPr="00D63D23">
              <w:rPr>
                <w:rStyle w:val="Hyperlink"/>
                <w:noProof/>
              </w:rPr>
              <w:t>2.1 Algemeen</w:t>
            </w:r>
            <w:r w:rsidR="003E7D4E">
              <w:rPr>
                <w:noProof/>
                <w:webHidden/>
              </w:rPr>
              <w:tab/>
            </w:r>
            <w:r>
              <w:rPr>
                <w:noProof/>
                <w:webHidden/>
              </w:rPr>
              <w:fldChar w:fldCharType="begin"/>
            </w:r>
            <w:r w:rsidR="003E7D4E">
              <w:rPr>
                <w:noProof/>
                <w:webHidden/>
              </w:rPr>
              <w:instrText xml:space="preserve"> PAGEREF _Toc454253641 \h </w:instrText>
            </w:r>
            <w:r>
              <w:rPr>
                <w:noProof/>
                <w:webHidden/>
              </w:rPr>
            </w:r>
            <w:r>
              <w:rPr>
                <w:noProof/>
                <w:webHidden/>
              </w:rPr>
              <w:fldChar w:fldCharType="separate"/>
            </w:r>
            <w:r w:rsidR="004A0F8D">
              <w:rPr>
                <w:noProof/>
                <w:webHidden/>
              </w:rPr>
              <w:t>12</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42" w:history="1">
            <w:r w:rsidR="003E7D4E" w:rsidRPr="00D63D23">
              <w:rPr>
                <w:rStyle w:val="Hyperlink"/>
                <w:noProof/>
              </w:rPr>
              <w:t>2.2 Huur woonruimte</w:t>
            </w:r>
            <w:r w:rsidR="003E7D4E">
              <w:rPr>
                <w:noProof/>
                <w:webHidden/>
              </w:rPr>
              <w:tab/>
            </w:r>
            <w:r>
              <w:rPr>
                <w:noProof/>
                <w:webHidden/>
              </w:rPr>
              <w:fldChar w:fldCharType="begin"/>
            </w:r>
            <w:r w:rsidR="003E7D4E">
              <w:rPr>
                <w:noProof/>
                <w:webHidden/>
              </w:rPr>
              <w:instrText xml:space="preserve"> PAGEREF _Toc454253642 \h </w:instrText>
            </w:r>
            <w:r>
              <w:rPr>
                <w:noProof/>
                <w:webHidden/>
              </w:rPr>
            </w:r>
            <w:r>
              <w:rPr>
                <w:noProof/>
                <w:webHidden/>
              </w:rPr>
              <w:fldChar w:fldCharType="separate"/>
            </w:r>
            <w:r w:rsidR="004A0F8D">
              <w:rPr>
                <w:noProof/>
                <w:webHidden/>
              </w:rPr>
              <w:t>12</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43" w:history="1">
            <w:r w:rsidR="003E7D4E" w:rsidRPr="00D63D23">
              <w:rPr>
                <w:rStyle w:val="Hyperlink"/>
                <w:noProof/>
              </w:rPr>
              <w:t>2.3 Einde huurovereenkomst: wederzijds goedvinden</w:t>
            </w:r>
            <w:r w:rsidR="003E7D4E">
              <w:rPr>
                <w:noProof/>
                <w:webHidden/>
              </w:rPr>
              <w:tab/>
            </w:r>
            <w:r>
              <w:rPr>
                <w:noProof/>
                <w:webHidden/>
              </w:rPr>
              <w:fldChar w:fldCharType="begin"/>
            </w:r>
            <w:r w:rsidR="003E7D4E">
              <w:rPr>
                <w:noProof/>
                <w:webHidden/>
              </w:rPr>
              <w:instrText xml:space="preserve"> PAGEREF _Toc454253643 \h </w:instrText>
            </w:r>
            <w:r>
              <w:rPr>
                <w:noProof/>
                <w:webHidden/>
              </w:rPr>
            </w:r>
            <w:r>
              <w:rPr>
                <w:noProof/>
                <w:webHidden/>
              </w:rPr>
              <w:fldChar w:fldCharType="separate"/>
            </w:r>
            <w:r w:rsidR="004A0F8D">
              <w:rPr>
                <w:noProof/>
                <w:webHidden/>
              </w:rPr>
              <w:t>13</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44" w:history="1">
            <w:r w:rsidR="003E7D4E" w:rsidRPr="00D63D23">
              <w:rPr>
                <w:rStyle w:val="Hyperlink"/>
                <w:noProof/>
              </w:rPr>
              <w:t>2.4 Einde huurovereenkomst: opzegging</w:t>
            </w:r>
            <w:r w:rsidR="003E7D4E">
              <w:rPr>
                <w:noProof/>
                <w:webHidden/>
              </w:rPr>
              <w:tab/>
            </w:r>
            <w:r>
              <w:rPr>
                <w:noProof/>
                <w:webHidden/>
              </w:rPr>
              <w:fldChar w:fldCharType="begin"/>
            </w:r>
            <w:r w:rsidR="003E7D4E">
              <w:rPr>
                <w:noProof/>
                <w:webHidden/>
              </w:rPr>
              <w:instrText xml:space="preserve"> PAGEREF _Toc454253644 \h </w:instrText>
            </w:r>
            <w:r>
              <w:rPr>
                <w:noProof/>
                <w:webHidden/>
              </w:rPr>
            </w:r>
            <w:r>
              <w:rPr>
                <w:noProof/>
                <w:webHidden/>
              </w:rPr>
              <w:fldChar w:fldCharType="separate"/>
            </w:r>
            <w:r w:rsidR="004A0F8D">
              <w:rPr>
                <w:noProof/>
                <w:webHidden/>
              </w:rPr>
              <w:t>13</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45" w:history="1">
            <w:r w:rsidR="003E7D4E" w:rsidRPr="00D63D23">
              <w:rPr>
                <w:rStyle w:val="Hyperlink"/>
                <w:noProof/>
              </w:rPr>
              <w:t>2.4.1 Opzeggingsgronden</w:t>
            </w:r>
            <w:r w:rsidR="003E7D4E">
              <w:rPr>
                <w:noProof/>
                <w:webHidden/>
              </w:rPr>
              <w:tab/>
            </w:r>
            <w:r>
              <w:rPr>
                <w:noProof/>
                <w:webHidden/>
              </w:rPr>
              <w:fldChar w:fldCharType="begin"/>
            </w:r>
            <w:r w:rsidR="003E7D4E">
              <w:rPr>
                <w:noProof/>
                <w:webHidden/>
              </w:rPr>
              <w:instrText xml:space="preserve"> PAGEREF _Toc454253645 \h </w:instrText>
            </w:r>
            <w:r>
              <w:rPr>
                <w:noProof/>
                <w:webHidden/>
              </w:rPr>
            </w:r>
            <w:r>
              <w:rPr>
                <w:noProof/>
                <w:webHidden/>
              </w:rPr>
              <w:fldChar w:fldCharType="separate"/>
            </w:r>
            <w:r w:rsidR="004A0F8D">
              <w:rPr>
                <w:noProof/>
                <w:webHidden/>
              </w:rPr>
              <w:t>14</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46" w:history="1">
            <w:r w:rsidR="003E7D4E" w:rsidRPr="00D63D23">
              <w:rPr>
                <w:rStyle w:val="Hyperlink"/>
                <w:noProof/>
              </w:rPr>
              <w:t>2.4.2 Uitzonderingen</w:t>
            </w:r>
            <w:r w:rsidR="003E7D4E">
              <w:rPr>
                <w:noProof/>
                <w:webHidden/>
              </w:rPr>
              <w:tab/>
            </w:r>
            <w:r>
              <w:rPr>
                <w:noProof/>
                <w:webHidden/>
              </w:rPr>
              <w:fldChar w:fldCharType="begin"/>
            </w:r>
            <w:r w:rsidR="003E7D4E">
              <w:rPr>
                <w:noProof/>
                <w:webHidden/>
              </w:rPr>
              <w:instrText xml:space="preserve"> PAGEREF _Toc454253646 \h </w:instrText>
            </w:r>
            <w:r>
              <w:rPr>
                <w:noProof/>
                <w:webHidden/>
              </w:rPr>
            </w:r>
            <w:r>
              <w:rPr>
                <w:noProof/>
                <w:webHidden/>
              </w:rPr>
              <w:fldChar w:fldCharType="separate"/>
            </w:r>
            <w:r w:rsidR="004A0F8D">
              <w:rPr>
                <w:noProof/>
                <w:webHidden/>
              </w:rPr>
              <w:t>16</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47" w:history="1">
            <w:r w:rsidR="003E7D4E" w:rsidRPr="00D63D23">
              <w:rPr>
                <w:rStyle w:val="Hyperlink"/>
                <w:noProof/>
              </w:rPr>
              <w:t>2.5 Einde huurovereenkomst: ontbinding</w:t>
            </w:r>
            <w:r w:rsidR="003E7D4E">
              <w:rPr>
                <w:noProof/>
                <w:webHidden/>
              </w:rPr>
              <w:tab/>
            </w:r>
            <w:r>
              <w:rPr>
                <w:noProof/>
                <w:webHidden/>
              </w:rPr>
              <w:fldChar w:fldCharType="begin"/>
            </w:r>
            <w:r w:rsidR="003E7D4E">
              <w:rPr>
                <w:noProof/>
                <w:webHidden/>
              </w:rPr>
              <w:instrText xml:space="preserve"> PAGEREF _Toc454253647 \h </w:instrText>
            </w:r>
            <w:r>
              <w:rPr>
                <w:noProof/>
                <w:webHidden/>
              </w:rPr>
            </w:r>
            <w:r>
              <w:rPr>
                <w:noProof/>
                <w:webHidden/>
              </w:rPr>
              <w:fldChar w:fldCharType="separate"/>
            </w:r>
            <w:r w:rsidR="004A0F8D">
              <w:rPr>
                <w:noProof/>
                <w:webHidden/>
              </w:rPr>
              <w:t>17</w:t>
            </w:r>
            <w:r>
              <w:rPr>
                <w:noProof/>
                <w:webHidden/>
              </w:rPr>
              <w:fldChar w:fldCharType="end"/>
            </w:r>
          </w:hyperlink>
        </w:p>
        <w:p w:rsidR="003E7D4E" w:rsidRDefault="00104973">
          <w:pPr>
            <w:pStyle w:val="Inhopg1"/>
            <w:tabs>
              <w:tab w:val="right" w:leader="dot" w:pos="9062"/>
            </w:tabs>
            <w:rPr>
              <w:rFonts w:asciiTheme="minorHAnsi" w:eastAsiaTheme="minorEastAsia" w:hAnsiTheme="minorHAnsi"/>
              <w:noProof/>
              <w:sz w:val="22"/>
              <w:lang w:eastAsia="nl-NL"/>
            </w:rPr>
          </w:pPr>
          <w:hyperlink w:anchor="_Toc454253648" w:history="1">
            <w:r w:rsidR="003E7D4E" w:rsidRPr="00D63D23">
              <w:rPr>
                <w:rStyle w:val="Hyperlink"/>
                <w:noProof/>
              </w:rPr>
              <w:t>3. Naar zijn aard van korte duur</w:t>
            </w:r>
            <w:r w:rsidR="003E7D4E">
              <w:rPr>
                <w:noProof/>
                <w:webHidden/>
              </w:rPr>
              <w:tab/>
            </w:r>
            <w:r>
              <w:rPr>
                <w:noProof/>
                <w:webHidden/>
              </w:rPr>
              <w:fldChar w:fldCharType="begin"/>
            </w:r>
            <w:r w:rsidR="003E7D4E">
              <w:rPr>
                <w:noProof/>
                <w:webHidden/>
              </w:rPr>
              <w:instrText xml:space="preserve"> PAGEREF _Toc454253648 \h </w:instrText>
            </w:r>
            <w:r>
              <w:rPr>
                <w:noProof/>
                <w:webHidden/>
              </w:rPr>
            </w:r>
            <w:r>
              <w:rPr>
                <w:noProof/>
                <w:webHidden/>
              </w:rPr>
              <w:fldChar w:fldCharType="separate"/>
            </w:r>
            <w:r w:rsidR="004A0F8D">
              <w:rPr>
                <w:noProof/>
                <w:webHidden/>
              </w:rPr>
              <w:t>18</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49" w:history="1">
            <w:r w:rsidR="003E7D4E" w:rsidRPr="00D63D23">
              <w:rPr>
                <w:rStyle w:val="Hyperlink"/>
                <w:noProof/>
              </w:rPr>
              <w:t>3.1 Wetsgeschiedenis</w:t>
            </w:r>
            <w:r w:rsidR="003E7D4E">
              <w:rPr>
                <w:noProof/>
                <w:webHidden/>
              </w:rPr>
              <w:tab/>
            </w:r>
            <w:r>
              <w:rPr>
                <w:noProof/>
                <w:webHidden/>
              </w:rPr>
              <w:fldChar w:fldCharType="begin"/>
            </w:r>
            <w:r w:rsidR="003E7D4E">
              <w:rPr>
                <w:noProof/>
                <w:webHidden/>
              </w:rPr>
              <w:instrText xml:space="preserve"> PAGEREF _Toc454253649 \h </w:instrText>
            </w:r>
            <w:r>
              <w:rPr>
                <w:noProof/>
                <w:webHidden/>
              </w:rPr>
            </w:r>
            <w:r>
              <w:rPr>
                <w:noProof/>
                <w:webHidden/>
              </w:rPr>
              <w:fldChar w:fldCharType="separate"/>
            </w:r>
            <w:r w:rsidR="004A0F8D">
              <w:rPr>
                <w:noProof/>
                <w:webHidden/>
              </w:rPr>
              <w:t>18</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50" w:history="1">
            <w:r w:rsidR="003E7D4E" w:rsidRPr="00D63D23">
              <w:rPr>
                <w:rStyle w:val="Hyperlink"/>
                <w:noProof/>
              </w:rPr>
              <w:t>3.1.1 Totstandkoming van de uitzonderingsbepaling: huur van woonruimte die naar zijn aard van korte duur is</w:t>
            </w:r>
            <w:r w:rsidR="003E7D4E">
              <w:rPr>
                <w:noProof/>
                <w:webHidden/>
              </w:rPr>
              <w:tab/>
            </w:r>
            <w:r>
              <w:rPr>
                <w:noProof/>
                <w:webHidden/>
              </w:rPr>
              <w:fldChar w:fldCharType="begin"/>
            </w:r>
            <w:r w:rsidR="003E7D4E">
              <w:rPr>
                <w:noProof/>
                <w:webHidden/>
              </w:rPr>
              <w:instrText xml:space="preserve"> PAGEREF _Toc454253650 \h </w:instrText>
            </w:r>
            <w:r>
              <w:rPr>
                <w:noProof/>
                <w:webHidden/>
              </w:rPr>
            </w:r>
            <w:r>
              <w:rPr>
                <w:noProof/>
                <w:webHidden/>
              </w:rPr>
              <w:fldChar w:fldCharType="separate"/>
            </w:r>
            <w:r w:rsidR="004A0F8D">
              <w:rPr>
                <w:noProof/>
                <w:webHidden/>
              </w:rPr>
              <w:t>18</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51" w:history="1">
            <w:r w:rsidR="003E7D4E" w:rsidRPr="00D63D23">
              <w:rPr>
                <w:rStyle w:val="Hyperlink"/>
                <w:noProof/>
              </w:rPr>
              <w:t>3.1.2 Wetsvoorstel Bepalingen met betrekking tot huur en verhuur van woonruimte.</w:t>
            </w:r>
            <w:r w:rsidR="003E7D4E">
              <w:rPr>
                <w:noProof/>
                <w:webHidden/>
              </w:rPr>
              <w:tab/>
            </w:r>
            <w:r>
              <w:rPr>
                <w:noProof/>
                <w:webHidden/>
              </w:rPr>
              <w:fldChar w:fldCharType="begin"/>
            </w:r>
            <w:r w:rsidR="003E7D4E">
              <w:rPr>
                <w:noProof/>
                <w:webHidden/>
              </w:rPr>
              <w:instrText xml:space="preserve"> PAGEREF _Toc454253651 \h </w:instrText>
            </w:r>
            <w:r>
              <w:rPr>
                <w:noProof/>
                <w:webHidden/>
              </w:rPr>
            </w:r>
            <w:r>
              <w:rPr>
                <w:noProof/>
                <w:webHidden/>
              </w:rPr>
              <w:fldChar w:fldCharType="separate"/>
            </w:r>
            <w:r w:rsidR="004A0F8D">
              <w:rPr>
                <w:noProof/>
                <w:webHidden/>
              </w:rPr>
              <w:t>19</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52" w:history="1">
            <w:r w:rsidR="003E7D4E" w:rsidRPr="00D63D23">
              <w:rPr>
                <w:rStyle w:val="Hyperlink"/>
                <w:noProof/>
              </w:rPr>
              <w:t>3.1.3 Invoering titel 7.4</w:t>
            </w:r>
            <w:r w:rsidR="003E7D4E">
              <w:rPr>
                <w:noProof/>
                <w:webHidden/>
              </w:rPr>
              <w:tab/>
            </w:r>
            <w:r>
              <w:rPr>
                <w:noProof/>
                <w:webHidden/>
              </w:rPr>
              <w:fldChar w:fldCharType="begin"/>
            </w:r>
            <w:r w:rsidR="003E7D4E">
              <w:rPr>
                <w:noProof/>
                <w:webHidden/>
              </w:rPr>
              <w:instrText xml:space="preserve"> PAGEREF _Toc454253652 \h </w:instrText>
            </w:r>
            <w:r>
              <w:rPr>
                <w:noProof/>
                <w:webHidden/>
              </w:rPr>
            </w:r>
            <w:r>
              <w:rPr>
                <w:noProof/>
                <w:webHidden/>
              </w:rPr>
              <w:fldChar w:fldCharType="separate"/>
            </w:r>
            <w:r w:rsidR="004A0F8D">
              <w:rPr>
                <w:noProof/>
                <w:webHidden/>
              </w:rPr>
              <w:t>19</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53" w:history="1">
            <w:r w:rsidR="003E7D4E" w:rsidRPr="00D63D23">
              <w:rPr>
                <w:rStyle w:val="Hyperlink"/>
                <w:noProof/>
              </w:rPr>
              <w:t>3.1.4 Terughoudendheid</w:t>
            </w:r>
            <w:r w:rsidR="003E7D4E">
              <w:rPr>
                <w:noProof/>
                <w:webHidden/>
              </w:rPr>
              <w:tab/>
            </w:r>
            <w:r>
              <w:rPr>
                <w:noProof/>
                <w:webHidden/>
              </w:rPr>
              <w:fldChar w:fldCharType="begin"/>
            </w:r>
            <w:r w:rsidR="003E7D4E">
              <w:rPr>
                <w:noProof/>
                <w:webHidden/>
              </w:rPr>
              <w:instrText xml:space="preserve"> PAGEREF _Toc454253653 \h </w:instrText>
            </w:r>
            <w:r>
              <w:rPr>
                <w:noProof/>
                <w:webHidden/>
              </w:rPr>
            </w:r>
            <w:r>
              <w:rPr>
                <w:noProof/>
                <w:webHidden/>
              </w:rPr>
              <w:fldChar w:fldCharType="separate"/>
            </w:r>
            <w:r w:rsidR="004A0F8D">
              <w:rPr>
                <w:noProof/>
                <w:webHidden/>
              </w:rPr>
              <w:t>19</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54" w:history="1">
            <w:r w:rsidR="003E7D4E" w:rsidRPr="00D63D23">
              <w:rPr>
                <w:rStyle w:val="Hyperlink"/>
                <w:noProof/>
              </w:rPr>
              <w:t>3.2 Beoordeling</w:t>
            </w:r>
            <w:r w:rsidR="003E7D4E">
              <w:rPr>
                <w:noProof/>
                <w:webHidden/>
              </w:rPr>
              <w:tab/>
            </w:r>
            <w:r>
              <w:rPr>
                <w:noProof/>
                <w:webHidden/>
              </w:rPr>
              <w:fldChar w:fldCharType="begin"/>
            </w:r>
            <w:r w:rsidR="003E7D4E">
              <w:rPr>
                <w:noProof/>
                <w:webHidden/>
              </w:rPr>
              <w:instrText xml:space="preserve"> PAGEREF _Toc454253654 \h </w:instrText>
            </w:r>
            <w:r>
              <w:rPr>
                <w:noProof/>
                <w:webHidden/>
              </w:rPr>
            </w:r>
            <w:r>
              <w:rPr>
                <w:noProof/>
                <w:webHidden/>
              </w:rPr>
              <w:fldChar w:fldCharType="separate"/>
            </w:r>
            <w:r w:rsidR="004A0F8D">
              <w:rPr>
                <w:noProof/>
                <w:webHidden/>
              </w:rPr>
              <w:t>19</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55" w:history="1">
            <w:r w:rsidR="003E7D4E" w:rsidRPr="00D63D23">
              <w:rPr>
                <w:rStyle w:val="Hyperlink"/>
                <w:noProof/>
              </w:rPr>
              <w:t>3.2.1 Beoordelingsfactoren</w:t>
            </w:r>
            <w:r w:rsidR="003E7D4E">
              <w:rPr>
                <w:noProof/>
                <w:webHidden/>
              </w:rPr>
              <w:tab/>
            </w:r>
            <w:r>
              <w:rPr>
                <w:noProof/>
                <w:webHidden/>
              </w:rPr>
              <w:fldChar w:fldCharType="begin"/>
            </w:r>
            <w:r w:rsidR="003E7D4E">
              <w:rPr>
                <w:noProof/>
                <w:webHidden/>
              </w:rPr>
              <w:instrText xml:space="preserve"> PAGEREF _Toc454253655 \h </w:instrText>
            </w:r>
            <w:r>
              <w:rPr>
                <w:noProof/>
                <w:webHidden/>
              </w:rPr>
            </w:r>
            <w:r>
              <w:rPr>
                <w:noProof/>
                <w:webHidden/>
              </w:rPr>
              <w:fldChar w:fldCharType="separate"/>
            </w:r>
            <w:r w:rsidR="004A0F8D">
              <w:rPr>
                <w:noProof/>
                <w:webHidden/>
              </w:rPr>
              <w:t>19</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56" w:history="1">
            <w:r w:rsidR="003E7D4E" w:rsidRPr="00D63D23">
              <w:rPr>
                <w:rStyle w:val="Hyperlink"/>
                <w:noProof/>
              </w:rPr>
              <w:t>3.2.2 Woning in afwachting van sloop</w:t>
            </w:r>
            <w:r w:rsidR="003E7D4E">
              <w:rPr>
                <w:noProof/>
                <w:webHidden/>
              </w:rPr>
              <w:tab/>
            </w:r>
            <w:r>
              <w:rPr>
                <w:noProof/>
                <w:webHidden/>
              </w:rPr>
              <w:fldChar w:fldCharType="begin"/>
            </w:r>
            <w:r w:rsidR="003E7D4E">
              <w:rPr>
                <w:noProof/>
                <w:webHidden/>
              </w:rPr>
              <w:instrText xml:space="preserve"> PAGEREF _Toc454253656 \h </w:instrText>
            </w:r>
            <w:r>
              <w:rPr>
                <w:noProof/>
                <w:webHidden/>
              </w:rPr>
            </w:r>
            <w:r>
              <w:rPr>
                <w:noProof/>
                <w:webHidden/>
              </w:rPr>
              <w:fldChar w:fldCharType="separate"/>
            </w:r>
            <w:r w:rsidR="004A0F8D">
              <w:rPr>
                <w:noProof/>
                <w:webHidden/>
              </w:rPr>
              <w:t>20</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57" w:history="1">
            <w:r w:rsidR="003E7D4E" w:rsidRPr="00D63D23">
              <w:rPr>
                <w:rStyle w:val="Hyperlink"/>
                <w:noProof/>
              </w:rPr>
              <w:t>3.2.3 Voorbeelden</w:t>
            </w:r>
            <w:r w:rsidR="003E7D4E">
              <w:rPr>
                <w:noProof/>
                <w:webHidden/>
              </w:rPr>
              <w:tab/>
            </w:r>
            <w:r>
              <w:rPr>
                <w:noProof/>
                <w:webHidden/>
              </w:rPr>
              <w:fldChar w:fldCharType="begin"/>
            </w:r>
            <w:r w:rsidR="003E7D4E">
              <w:rPr>
                <w:noProof/>
                <w:webHidden/>
              </w:rPr>
              <w:instrText xml:space="preserve"> PAGEREF _Toc454253657 \h </w:instrText>
            </w:r>
            <w:r>
              <w:rPr>
                <w:noProof/>
                <w:webHidden/>
              </w:rPr>
            </w:r>
            <w:r>
              <w:rPr>
                <w:noProof/>
                <w:webHidden/>
              </w:rPr>
              <w:fldChar w:fldCharType="separate"/>
            </w:r>
            <w:r w:rsidR="004A0F8D">
              <w:rPr>
                <w:noProof/>
                <w:webHidden/>
              </w:rPr>
              <w:t>20</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58" w:history="1">
            <w:r w:rsidR="003E7D4E" w:rsidRPr="00D63D23">
              <w:rPr>
                <w:rStyle w:val="Hyperlink"/>
                <w:noProof/>
              </w:rPr>
              <w:t>3.3 Uitweg</w:t>
            </w:r>
            <w:r w:rsidR="003E7D4E">
              <w:rPr>
                <w:noProof/>
                <w:webHidden/>
              </w:rPr>
              <w:tab/>
            </w:r>
            <w:r>
              <w:rPr>
                <w:noProof/>
                <w:webHidden/>
              </w:rPr>
              <w:fldChar w:fldCharType="begin"/>
            </w:r>
            <w:r w:rsidR="003E7D4E">
              <w:rPr>
                <w:noProof/>
                <w:webHidden/>
              </w:rPr>
              <w:instrText xml:space="preserve"> PAGEREF _Toc454253658 \h </w:instrText>
            </w:r>
            <w:r>
              <w:rPr>
                <w:noProof/>
                <w:webHidden/>
              </w:rPr>
            </w:r>
            <w:r>
              <w:rPr>
                <w:noProof/>
                <w:webHidden/>
              </w:rPr>
              <w:fldChar w:fldCharType="separate"/>
            </w:r>
            <w:r w:rsidR="004A0F8D">
              <w:rPr>
                <w:noProof/>
                <w:webHidden/>
              </w:rPr>
              <w:t>20</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59" w:history="1">
            <w:r w:rsidR="003E7D4E" w:rsidRPr="00D63D23">
              <w:rPr>
                <w:rStyle w:val="Hyperlink"/>
                <w:noProof/>
              </w:rPr>
              <w:t>3.3.1 Uitsluiten huurbescherming</w:t>
            </w:r>
            <w:r w:rsidR="003E7D4E">
              <w:rPr>
                <w:noProof/>
                <w:webHidden/>
              </w:rPr>
              <w:tab/>
            </w:r>
            <w:r>
              <w:rPr>
                <w:noProof/>
                <w:webHidden/>
              </w:rPr>
              <w:fldChar w:fldCharType="begin"/>
            </w:r>
            <w:r w:rsidR="003E7D4E">
              <w:rPr>
                <w:noProof/>
                <w:webHidden/>
              </w:rPr>
              <w:instrText xml:space="preserve"> PAGEREF _Toc454253659 \h </w:instrText>
            </w:r>
            <w:r>
              <w:rPr>
                <w:noProof/>
                <w:webHidden/>
              </w:rPr>
            </w:r>
            <w:r>
              <w:rPr>
                <w:noProof/>
                <w:webHidden/>
              </w:rPr>
              <w:fldChar w:fldCharType="separate"/>
            </w:r>
            <w:r w:rsidR="004A0F8D">
              <w:rPr>
                <w:noProof/>
                <w:webHidden/>
              </w:rPr>
              <w:t>20</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60" w:history="1">
            <w:r w:rsidR="003E7D4E" w:rsidRPr="00D63D23">
              <w:rPr>
                <w:rStyle w:val="Hyperlink"/>
                <w:noProof/>
              </w:rPr>
              <w:t>3.3.2 Slotsom</w:t>
            </w:r>
            <w:r w:rsidR="003E7D4E">
              <w:rPr>
                <w:noProof/>
                <w:webHidden/>
              </w:rPr>
              <w:tab/>
            </w:r>
            <w:r>
              <w:rPr>
                <w:noProof/>
                <w:webHidden/>
              </w:rPr>
              <w:fldChar w:fldCharType="begin"/>
            </w:r>
            <w:r w:rsidR="003E7D4E">
              <w:rPr>
                <w:noProof/>
                <w:webHidden/>
              </w:rPr>
              <w:instrText xml:space="preserve"> PAGEREF _Toc454253660 \h </w:instrText>
            </w:r>
            <w:r>
              <w:rPr>
                <w:noProof/>
                <w:webHidden/>
              </w:rPr>
            </w:r>
            <w:r>
              <w:rPr>
                <w:noProof/>
                <w:webHidden/>
              </w:rPr>
              <w:fldChar w:fldCharType="separate"/>
            </w:r>
            <w:r w:rsidR="004A0F8D">
              <w:rPr>
                <w:noProof/>
                <w:webHidden/>
              </w:rPr>
              <w:t>21</w:t>
            </w:r>
            <w:r>
              <w:rPr>
                <w:noProof/>
                <w:webHidden/>
              </w:rPr>
              <w:fldChar w:fldCharType="end"/>
            </w:r>
          </w:hyperlink>
        </w:p>
        <w:p w:rsidR="003E7D4E" w:rsidRDefault="00104973">
          <w:pPr>
            <w:pStyle w:val="Inhopg1"/>
            <w:tabs>
              <w:tab w:val="right" w:leader="dot" w:pos="9062"/>
            </w:tabs>
            <w:rPr>
              <w:rFonts w:asciiTheme="minorHAnsi" w:eastAsiaTheme="minorEastAsia" w:hAnsiTheme="minorHAnsi"/>
              <w:noProof/>
              <w:sz w:val="22"/>
              <w:lang w:eastAsia="nl-NL"/>
            </w:rPr>
          </w:pPr>
          <w:hyperlink w:anchor="_Toc454253661" w:history="1">
            <w:r w:rsidR="003E7D4E" w:rsidRPr="00D63D23">
              <w:rPr>
                <w:rStyle w:val="Hyperlink"/>
                <w:noProof/>
              </w:rPr>
              <w:t>4. Resultaten: beoordelingsfactoren</w:t>
            </w:r>
            <w:r w:rsidR="003E7D4E">
              <w:rPr>
                <w:noProof/>
                <w:webHidden/>
              </w:rPr>
              <w:tab/>
            </w:r>
            <w:r>
              <w:rPr>
                <w:noProof/>
                <w:webHidden/>
              </w:rPr>
              <w:fldChar w:fldCharType="begin"/>
            </w:r>
            <w:r w:rsidR="003E7D4E">
              <w:rPr>
                <w:noProof/>
                <w:webHidden/>
              </w:rPr>
              <w:instrText xml:space="preserve"> PAGEREF _Toc454253661 \h </w:instrText>
            </w:r>
            <w:r>
              <w:rPr>
                <w:noProof/>
                <w:webHidden/>
              </w:rPr>
            </w:r>
            <w:r>
              <w:rPr>
                <w:noProof/>
                <w:webHidden/>
              </w:rPr>
              <w:fldChar w:fldCharType="separate"/>
            </w:r>
            <w:r w:rsidR="004A0F8D">
              <w:rPr>
                <w:noProof/>
                <w:webHidden/>
              </w:rPr>
              <w:t>22</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62" w:history="1">
            <w:r w:rsidR="003E7D4E" w:rsidRPr="00D63D23">
              <w:rPr>
                <w:rStyle w:val="Hyperlink"/>
                <w:noProof/>
              </w:rPr>
              <w:t>4.1 Aanpak</w:t>
            </w:r>
            <w:r w:rsidR="003E7D4E">
              <w:rPr>
                <w:noProof/>
                <w:webHidden/>
              </w:rPr>
              <w:tab/>
            </w:r>
            <w:r>
              <w:rPr>
                <w:noProof/>
                <w:webHidden/>
              </w:rPr>
              <w:fldChar w:fldCharType="begin"/>
            </w:r>
            <w:r w:rsidR="003E7D4E">
              <w:rPr>
                <w:noProof/>
                <w:webHidden/>
              </w:rPr>
              <w:instrText xml:space="preserve"> PAGEREF _Toc454253662 \h </w:instrText>
            </w:r>
            <w:r>
              <w:rPr>
                <w:noProof/>
                <w:webHidden/>
              </w:rPr>
            </w:r>
            <w:r>
              <w:rPr>
                <w:noProof/>
                <w:webHidden/>
              </w:rPr>
              <w:fldChar w:fldCharType="separate"/>
            </w:r>
            <w:r w:rsidR="004A0F8D">
              <w:rPr>
                <w:noProof/>
                <w:webHidden/>
              </w:rPr>
              <w:t>22</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63" w:history="1">
            <w:r w:rsidR="003E7D4E" w:rsidRPr="00D63D23">
              <w:rPr>
                <w:rStyle w:val="Hyperlink"/>
                <w:noProof/>
              </w:rPr>
              <w:t>4.2 Het beroep wordt afgewezen</w:t>
            </w:r>
            <w:r w:rsidR="003E7D4E">
              <w:rPr>
                <w:noProof/>
                <w:webHidden/>
              </w:rPr>
              <w:tab/>
            </w:r>
            <w:r>
              <w:rPr>
                <w:noProof/>
                <w:webHidden/>
              </w:rPr>
              <w:fldChar w:fldCharType="begin"/>
            </w:r>
            <w:r w:rsidR="003E7D4E">
              <w:rPr>
                <w:noProof/>
                <w:webHidden/>
              </w:rPr>
              <w:instrText xml:space="preserve"> PAGEREF _Toc454253663 \h </w:instrText>
            </w:r>
            <w:r>
              <w:rPr>
                <w:noProof/>
                <w:webHidden/>
              </w:rPr>
            </w:r>
            <w:r>
              <w:rPr>
                <w:noProof/>
                <w:webHidden/>
              </w:rPr>
              <w:fldChar w:fldCharType="separate"/>
            </w:r>
            <w:r w:rsidR="004A0F8D">
              <w:rPr>
                <w:noProof/>
                <w:webHidden/>
              </w:rPr>
              <w:t>23</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64" w:history="1">
            <w:r w:rsidR="003E7D4E" w:rsidRPr="00D63D23">
              <w:rPr>
                <w:rStyle w:val="Hyperlink"/>
                <w:noProof/>
              </w:rPr>
              <w:t>4.3 Het beroep wordt toegewezen</w:t>
            </w:r>
            <w:r w:rsidR="003E7D4E">
              <w:rPr>
                <w:noProof/>
                <w:webHidden/>
              </w:rPr>
              <w:tab/>
            </w:r>
            <w:r>
              <w:rPr>
                <w:noProof/>
                <w:webHidden/>
              </w:rPr>
              <w:fldChar w:fldCharType="begin"/>
            </w:r>
            <w:r w:rsidR="003E7D4E">
              <w:rPr>
                <w:noProof/>
                <w:webHidden/>
              </w:rPr>
              <w:instrText xml:space="preserve"> PAGEREF _Toc454253664 \h </w:instrText>
            </w:r>
            <w:r>
              <w:rPr>
                <w:noProof/>
                <w:webHidden/>
              </w:rPr>
            </w:r>
            <w:r>
              <w:rPr>
                <w:noProof/>
                <w:webHidden/>
              </w:rPr>
              <w:fldChar w:fldCharType="separate"/>
            </w:r>
            <w:r w:rsidR="004A0F8D">
              <w:rPr>
                <w:noProof/>
                <w:webHidden/>
              </w:rPr>
              <w:t>24</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65" w:history="1">
            <w:r w:rsidR="003E7D4E" w:rsidRPr="00D63D23">
              <w:rPr>
                <w:rStyle w:val="Hyperlink"/>
                <w:noProof/>
              </w:rPr>
              <w:t>4.4 Conclusie</w:t>
            </w:r>
            <w:r w:rsidR="003E7D4E">
              <w:rPr>
                <w:noProof/>
                <w:webHidden/>
              </w:rPr>
              <w:tab/>
            </w:r>
            <w:r>
              <w:rPr>
                <w:noProof/>
                <w:webHidden/>
              </w:rPr>
              <w:fldChar w:fldCharType="begin"/>
            </w:r>
            <w:r w:rsidR="003E7D4E">
              <w:rPr>
                <w:noProof/>
                <w:webHidden/>
              </w:rPr>
              <w:instrText xml:space="preserve"> PAGEREF _Toc454253665 \h </w:instrText>
            </w:r>
            <w:r>
              <w:rPr>
                <w:noProof/>
                <w:webHidden/>
              </w:rPr>
            </w:r>
            <w:r>
              <w:rPr>
                <w:noProof/>
                <w:webHidden/>
              </w:rPr>
              <w:fldChar w:fldCharType="separate"/>
            </w:r>
            <w:r w:rsidR="004A0F8D">
              <w:rPr>
                <w:noProof/>
                <w:webHidden/>
              </w:rPr>
              <w:t>25</w:t>
            </w:r>
            <w:r>
              <w:rPr>
                <w:noProof/>
                <w:webHidden/>
              </w:rPr>
              <w:fldChar w:fldCharType="end"/>
            </w:r>
          </w:hyperlink>
        </w:p>
        <w:p w:rsidR="003E7D4E" w:rsidRDefault="00104973">
          <w:pPr>
            <w:pStyle w:val="Inhopg1"/>
            <w:tabs>
              <w:tab w:val="right" w:leader="dot" w:pos="9062"/>
            </w:tabs>
            <w:rPr>
              <w:rFonts w:asciiTheme="minorHAnsi" w:eastAsiaTheme="minorEastAsia" w:hAnsiTheme="minorHAnsi"/>
              <w:noProof/>
              <w:sz w:val="22"/>
              <w:lang w:eastAsia="nl-NL"/>
            </w:rPr>
          </w:pPr>
          <w:hyperlink w:anchor="_Toc454253666" w:history="1">
            <w:r w:rsidR="003E7D4E" w:rsidRPr="00D63D23">
              <w:rPr>
                <w:rStyle w:val="Hyperlink"/>
                <w:noProof/>
              </w:rPr>
              <w:t>5. Resultaten: feiten en omstandigheden</w:t>
            </w:r>
            <w:r w:rsidR="003E7D4E">
              <w:rPr>
                <w:noProof/>
                <w:webHidden/>
              </w:rPr>
              <w:tab/>
            </w:r>
            <w:r>
              <w:rPr>
                <w:noProof/>
                <w:webHidden/>
              </w:rPr>
              <w:fldChar w:fldCharType="begin"/>
            </w:r>
            <w:r w:rsidR="003E7D4E">
              <w:rPr>
                <w:noProof/>
                <w:webHidden/>
              </w:rPr>
              <w:instrText xml:space="preserve"> PAGEREF _Toc454253666 \h </w:instrText>
            </w:r>
            <w:r>
              <w:rPr>
                <w:noProof/>
                <w:webHidden/>
              </w:rPr>
            </w:r>
            <w:r>
              <w:rPr>
                <w:noProof/>
                <w:webHidden/>
              </w:rPr>
              <w:fldChar w:fldCharType="separate"/>
            </w:r>
            <w:r w:rsidR="004A0F8D">
              <w:rPr>
                <w:noProof/>
                <w:webHidden/>
              </w:rPr>
              <w:t>27</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67" w:history="1">
            <w:r w:rsidR="003E7D4E" w:rsidRPr="00D63D23">
              <w:rPr>
                <w:rStyle w:val="Hyperlink"/>
                <w:noProof/>
              </w:rPr>
              <w:t>5.1 Aanpak</w:t>
            </w:r>
            <w:r w:rsidR="003E7D4E">
              <w:rPr>
                <w:noProof/>
                <w:webHidden/>
              </w:rPr>
              <w:tab/>
            </w:r>
            <w:r>
              <w:rPr>
                <w:noProof/>
                <w:webHidden/>
              </w:rPr>
              <w:fldChar w:fldCharType="begin"/>
            </w:r>
            <w:r w:rsidR="003E7D4E">
              <w:rPr>
                <w:noProof/>
                <w:webHidden/>
              </w:rPr>
              <w:instrText xml:space="preserve"> PAGEREF _Toc454253667 \h </w:instrText>
            </w:r>
            <w:r>
              <w:rPr>
                <w:noProof/>
                <w:webHidden/>
              </w:rPr>
            </w:r>
            <w:r>
              <w:rPr>
                <w:noProof/>
                <w:webHidden/>
              </w:rPr>
              <w:fldChar w:fldCharType="separate"/>
            </w:r>
            <w:r w:rsidR="004A0F8D">
              <w:rPr>
                <w:noProof/>
                <w:webHidden/>
              </w:rPr>
              <w:t>27</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68" w:history="1">
            <w:r w:rsidR="003E7D4E" w:rsidRPr="00D63D23">
              <w:rPr>
                <w:rStyle w:val="Hyperlink"/>
                <w:noProof/>
              </w:rPr>
              <w:t>5.2 Aard van het gehuurde</w:t>
            </w:r>
            <w:r w:rsidR="003E7D4E">
              <w:rPr>
                <w:noProof/>
                <w:webHidden/>
              </w:rPr>
              <w:tab/>
            </w:r>
            <w:r>
              <w:rPr>
                <w:noProof/>
                <w:webHidden/>
              </w:rPr>
              <w:fldChar w:fldCharType="begin"/>
            </w:r>
            <w:r w:rsidR="003E7D4E">
              <w:rPr>
                <w:noProof/>
                <w:webHidden/>
              </w:rPr>
              <w:instrText xml:space="preserve"> PAGEREF _Toc454253668 \h </w:instrText>
            </w:r>
            <w:r>
              <w:rPr>
                <w:noProof/>
                <w:webHidden/>
              </w:rPr>
            </w:r>
            <w:r>
              <w:rPr>
                <w:noProof/>
                <w:webHidden/>
              </w:rPr>
              <w:fldChar w:fldCharType="separate"/>
            </w:r>
            <w:r w:rsidR="004A0F8D">
              <w:rPr>
                <w:noProof/>
                <w:webHidden/>
              </w:rPr>
              <w:t>27</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69" w:history="1">
            <w:r w:rsidR="003E7D4E" w:rsidRPr="00D63D23">
              <w:rPr>
                <w:rStyle w:val="Hyperlink"/>
                <w:noProof/>
              </w:rPr>
              <w:t>5.2.1 Afgewezen uitspraken</w:t>
            </w:r>
            <w:r w:rsidR="003E7D4E">
              <w:rPr>
                <w:noProof/>
                <w:webHidden/>
              </w:rPr>
              <w:tab/>
            </w:r>
            <w:r>
              <w:rPr>
                <w:noProof/>
                <w:webHidden/>
              </w:rPr>
              <w:fldChar w:fldCharType="begin"/>
            </w:r>
            <w:r w:rsidR="003E7D4E">
              <w:rPr>
                <w:noProof/>
                <w:webHidden/>
              </w:rPr>
              <w:instrText xml:space="preserve"> PAGEREF _Toc454253669 \h </w:instrText>
            </w:r>
            <w:r>
              <w:rPr>
                <w:noProof/>
                <w:webHidden/>
              </w:rPr>
            </w:r>
            <w:r>
              <w:rPr>
                <w:noProof/>
                <w:webHidden/>
              </w:rPr>
              <w:fldChar w:fldCharType="separate"/>
            </w:r>
            <w:r w:rsidR="004A0F8D">
              <w:rPr>
                <w:noProof/>
                <w:webHidden/>
              </w:rPr>
              <w:t>28</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70" w:history="1">
            <w:r w:rsidR="003E7D4E" w:rsidRPr="00D63D23">
              <w:rPr>
                <w:rStyle w:val="Hyperlink"/>
                <w:noProof/>
              </w:rPr>
              <w:t>5.2.2 Toegewezen uitspraken</w:t>
            </w:r>
            <w:r w:rsidR="003E7D4E">
              <w:rPr>
                <w:noProof/>
                <w:webHidden/>
              </w:rPr>
              <w:tab/>
            </w:r>
            <w:r>
              <w:rPr>
                <w:noProof/>
                <w:webHidden/>
              </w:rPr>
              <w:fldChar w:fldCharType="begin"/>
            </w:r>
            <w:r w:rsidR="003E7D4E">
              <w:rPr>
                <w:noProof/>
                <w:webHidden/>
              </w:rPr>
              <w:instrText xml:space="preserve"> PAGEREF _Toc454253670 \h </w:instrText>
            </w:r>
            <w:r>
              <w:rPr>
                <w:noProof/>
                <w:webHidden/>
              </w:rPr>
            </w:r>
            <w:r>
              <w:rPr>
                <w:noProof/>
                <w:webHidden/>
              </w:rPr>
              <w:fldChar w:fldCharType="separate"/>
            </w:r>
            <w:r w:rsidR="004A0F8D">
              <w:rPr>
                <w:noProof/>
                <w:webHidden/>
              </w:rPr>
              <w:t>29</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71" w:history="1">
            <w:r w:rsidR="003E7D4E" w:rsidRPr="00D63D23">
              <w:rPr>
                <w:rStyle w:val="Hyperlink"/>
                <w:noProof/>
              </w:rPr>
              <w:t>5.2.3 Conclusie: aard van het gehuurde</w:t>
            </w:r>
            <w:r w:rsidR="003E7D4E">
              <w:rPr>
                <w:noProof/>
                <w:webHidden/>
              </w:rPr>
              <w:tab/>
            </w:r>
            <w:r>
              <w:rPr>
                <w:noProof/>
                <w:webHidden/>
              </w:rPr>
              <w:fldChar w:fldCharType="begin"/>
            </w:r>
            <w:r w:rsidR="003E7D4E">
              <w:rPr>
                <w:noProof/>
                <w:webHidden/>
              </w:rPr>
              <w:instrText xml:space="preserve"> PAGEREF _Toc454253671 \h </w:instrText>
            </w:r>
            <w:r>
              <w:rPr>
                <w:noProof/>
                <w:webHidden/>
              </w:rPr>
            </w:r>
            <w:r>
              <w:rPr>
                <w:noProof/>
                <w:webHidden/>
              </w:rPr>
              <w:fldChar w:fldCharType="separate"/>
            </w:r>
            <w:r w:rsidR="004A0F8D">
              <w:rPr>
                <w:noProof/>
                <w:webHidden/>
              </w:rPr>
              <w:t>31</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72" w:history="1">
            <w:r w:rsidR="003E7D4E" w:rsidRPr="00D63D23">
              <w:rPr>
                <w:rStyle w:val="Hyperlink"/>
                <w:noProof/>
              </w:rPr>
              <w:t>5.3 Aard van het gebruik</w:t>
            </w:r>
            <w:r w:rsidR="003E7D4E">
              <w:rPr>
                <w:noProof/>
                <w:webHidden/>
              </w:rPr>
              <w:tab/>
            </w:r>
            <w:r>
              <w:rPr>
                <w:noProof/>
                <w:webHidden/>
              </w:rPr>
              <w:fldChar w:fldCharType="begin"/>
            </w:r>
            <w:r w:rsidR="003E7D4E">
              <w:rPr>
                <w:noProof/>
                <w:webHidden/>
              </w:rPr>
              <w:instrText xml:space="preserve"> PAGEREF _Toc454253672 \h </w:instrText>
            </w:r>
            <w:r>
              <w:rPr>
                <w:noProof/>
                <w:webHidden/>
              </w:rPr>
            </w:r>
            <w:r>
              <w:rPr>
                <w:noProof/>
                <w:webHidden/>
              </w:rPr>
              <w:fldChar w:fldCharType="separate"/>
            </w:r>
            <w:r w:rsidR="004A0F8D">
              <w:rPr>
                <w:noProof/>
                <w:webHidden/>
              </w:rPr>
              <w:t>32</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73" w:history="1">
            <w:r w:rsidR="003E7D4E" w:rsidRPr="00D63D23">
              <w:rPr>
                <w:rStyle w:val="Hyperlink"/>
                <w:noProof/>
              </w:rPr>
              <w:t>5.3.1 Afgewezen uitspraken</w:t>
            </w:r>
            <w:r w:rsidR="003E7D4E">
              <w:rPr>
                <w:noProof/>
                <w:webHidden/>
              </w:rPr>
              <w:tab/>
            </w:r>
            <w:r>
              <w:rPr>
                <w:noProof/>
                <w:webHidden/>
              </w:rPr>
              <w:fldChar w:fldCharType="begin"/>
            </w:r>
            <w:r w:rsidR="003E7D4E">
              <w:rPr>
                <w:noProof/>
                <w:webHidden/>
              </w:rPr>
              <w:instrText xml:space="preserve"> PAGEREF _Toc454253673 \h </w:instrText>
            </w:r>
            <w:r>
              <w:rPr>
                <w:noProof/>
                <w:webHidden/>
              </w:rPr>
            </w:r>
            <w:r>
              <w:rPr>
                <w:noProof/>
                <w:webHidden/>
              </w:rPr>
              <w:fldChar w:fldCharType="separate"/>
            </w:r>
            <w:r w:rsidR="004A0F8D">
              <w:rPr>
                <w:noProof/>
                <w:webHidden/>
              </w:rPr>
              <w:t>32</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74" w:history="1">
            <w:r w:rsidR="003E7D4E" w:rsidRPr="00D63D23">
              <w:rPr>
                <w:rStyle w:val="Hyperlink"/>
                <w:noProof/>
              </w:rPr>
              <w:t>5.3.2 Toegewezen uitspraken</w:t>
            </w:r>
            <w:r w:rsidR="003E7D4E">
              <w:rPr>
                <w:noProof/>
                <w:webHidden/>
              </w:rPr>
              <w:tab/>
            </w:r>
            <w:r>
              <w:rPr>
                <w:noProof/>
                <w:webHidden/>
              </w:rPr>
              <w:fldChar w:fldCharType="begin"/>
            </w:r>
            <w:r w:rsidR="003E7D4E">
              <w:rPr>
                <w:noProof/>
                <w:webHidden/>
              </w:rPr>
              <w:instrText xml:space="preserve"> PAGEREF _Toc454253674 \h </w:instrText>
            </w:r>
            <w:r>
              <w:rPr>
                <w:noProof/>
                <w:webHidden/>
              </w:rPr>
            </w:r>
            <w:r>
              <w:rPr>
                <w:noProof/>
                <w:webHidden/>
              </w:rPr>
              <w:fldChar w:fldCharType="separate"/>
            </w:r>
            <w:r w:rsidR="004A0F8D">
              <w:rPr>
                <w:noProof/>
                <w:webHidden/>
              </w:rPr>
              <w:t>34</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75" w:history="1">
            <w:r w:rsidR="003E7D4E" w:rsidRPr="00D63D23">
              <w:rPr>
                <w:rStyle w:val="Hyperlink"/>
                <w:noProof/>
              </w:rPr>
              <w:t>5.3.3 Conclusie: aard van het gebruik</w:t>
            </w:r>
            <w:r w:rsidR="003E7D4E">
              <w:rPr>
                <w:noProof/>
                <w:webHidden/>
              </w:rPr>
              <w:tab/>
            </w:r>
            <w:r>
              <w:rPr>
                <w:noProof/>
                <w:webHidden/>
              </w:rPr>
              <w:fldChar w:fldCharType="begin"/>
            </w:r>
            <w:r w:rsidR="003E7D4E">
              <w:rPr>
                <w:noProof/>
                <w:webHidden/>
              </w:rPr>
              <w:instrText xml:space="preserve"> PAGEREF _Toc454253675 \h </w:instrText>
            </w:r>
            <w:r>
              <w:rPr>
                <w:noProof/>
                <w:webHidden/>
              </w:rPr>
            </w:r>
            <w:r>
              <w:rPr>
                <w:noProof/>
                <w:webHidden/>
              </w:rPr>
              <w:fldChar w:fldCharType="separate"/>
            </w:r>
            <w:r w:rsidR="004A0F8D">
              <w:rPr>
                <w:noProof/>
                <w:webHidden/>
              </w:rPr>
              <w:t>36</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76" w:history="1">
            <w:r w:rsidR="003E7D4E" w:rsidRPr="00D63D23">
              <w:rPr>
                <w:rStyle w:val="Hyperlink"/>
                <w:noProof/>
              </w:rPr>
              <w:t>5.4 Bedoelingen van partijen</w:t>
            </w:r>
            <w:r w:rsidR="003E7D4E">
              <w:rPr>
                <w:noProof/>
                <w:webHidden/>
              </w:rPr>
              <w:tab/>
            </w:r>
            <w:r>
              <w:rPr>
                <w:noProof/>
                <w:webHidden/>
              </w:rPr>
              <w:fldChar w:fldCharType="begin"/>
            </w:r>
            <w:r w:rsidR="003E7D4E">
              <w:rPr>
                <w:noProof/>
                <w:webHidden/>
              </w:rPr>
              <w:instrText xml:space="preserve"> PAGEREF _Toc454253676 \h </w:instrText>
            </w:r>
            <w:r>
              <w:rPr>
                <w:noProof/>
                <w:webHidden/>
              </w:rPr>
            </w:r>
            <w:r>
              <w:rPr>
                <w:noProof/>
                <w:webHidden/>
              </w:rPr>
              <w:fldChar w:fldCharType="separate"/>
            </w:r>
            <w:r w:rsidR="004A0F8D">
              <w:rPr>
                <w:noProof/>
                <w:webHidden/>
              </w:rPr>
              <w:t>37</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77" w:history="1">
            <w:r w:rsidR="003E7D4E" w:rsidRPr="00D63D23">
              <w:rPr>
                <w:rStyle w:val="Hyperlink"/>
                <w:noProof/>
              </w:rPr>
              <w:t>5.4.1 Afgewezen uitspraken</w:t>
            </w:r>
            <w:r w:rsidR="003E7D4E">
              <w:rPr>
                <w:noProof/>
                <w:webHidden/>
              </w:rPr>
              <w:tab/>
            </w:r>
            <w:r>
              <w:rPr>
                <w:noProof/>
                <w:webHidden/>
              </w:rPr>
              <w:fldChar w:fldCharType="begin"/>
            </w:r>
            <w:r w:rsidR="003E7D4E">
              <w:rPr>
                <w:noProof/>
                <w:webHidden/>
              </w:rPr>
              <w:instrText xml:space="preserve"> PAGEREF _Toc454253677 \h </w:instrText>
            </w:r>
            <w:r>
              <w:rPr>
                <w:noProof/>
                <w:webHidden/>
              </w:rPr>
            </w:r>
            <w:r>
              <w:rPr>
                <w:noProof/>
                <w:webHidden/>
              </w:rPr>
              <w:fldChar w:fldCharType="separate"/>
            </w:r>
            <w:r w:rsidR="004A0F8D">
              <w:rPr>
                <w:noProof/>
                <w:webHidden/>
              </w:rPr>
              <w:t>37</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78" w:history="1">
            <w:r w:rsidR="003E7D4E" w:rsidRPr="00D63D23">
              <w:rPr>
                <w:rStyle w:val="Hyperlink"/>
                <w:noProof/>
              </w:rPr>
              <w:t>5.4.2 Toegewezen uitspraken</w:t>
            </w:r>
            <w:r w:rsidR="003E7D4E">
              <w:rPr>
                <w:noProof/>
                <w:webHidden/>
              </w:rPr>
              <w:tab/>
            </w:r>
            <w:r>
              <w:rPr>
                <w:noProof/>
                <w:webHidden/>
              </w:rPr>
              <w:fldChar w:fldCharType="begin"/>
            </w:r>
            <w:r w:rsidR="003E7D4E">
              <w:rPr>
                <w:noProof/>
                <w:webHidden/>
              </w:rPr>
              <w:instrText xml:space="preserve"> PAGEREF _Toc454253678 \h </w:instrText>
            </w:r>
            <w:r>
              <w:rPr>
                <w:noProof/>
                <w:webHidden/>
              </w:rPr>
            </w:r>
            <w:r>
              <w:rPr>
                <w:noProof/>
                <w:webHidden/>
              </w:rPr>
              <w:fldChar w:fldCharType="separate"/>
            </w:r>
            <w:r w:rsidR="004A0F8D">
              <w:rPr>
                <w:noProof/>
                <w:webHidden/>
              </w:rPr>
              <w:t>39</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79" w:history="1">
            <w:r w:rsidR="003E7D4E" w:rsidRPr="00D63D23">
              <w:rPr>
                <w:rStyle w:val="Hyperlink"/>
                <w:noProof/>
              </w:rPr>
              <w:t>5.4.3 Conclusie: bedoelingen van partijen</w:t>
            </w:r>
            <w:r w:rsidR="003E7D4E">
              <w:rPr>
                <w:noProof/>
                <w:webHidden/>
              </w:rPr>
              <w:tab/>
            </w:r>
            <w:r>
              <w:rPr>
                <w:noProof/>
                <w:webHidden/>
              </w:rPr>
              <w:fldChar w:fldCharType="begin"/>
            </w:r>
            <w:r w:rsidR="003E7D4E">
              <w:rPr>
                <w:noProof/>
                <w:webHidden/>
              </w:rPr>
              <w:instrText xml:space="preserve"> PAGEREF _Toc454253679 \h </w:instrText>
            </w:r>
            <w:r>
              <w:rPr>
                <w:noProof/>
                <w:webHidden/>
              </w:rPr>
            </w:r>
            <w:r>
              <w:rPr>
                <w:noProof/>
                <w:webHidden/>
              </w:rPr>
              <w:fldChar w:fldCharType="separate"/>
            </w:r>
            <w:r w:rsidR="004A0F8D">
              <w:rPr>
                <w:noProof/>
                <w:webHidden/>
              </w:rPr>
              <w:t>40</w:t>
            </w:r>
            <w:r>
              <w:rPr>
                <w:noProof/>
                <w:webHidden/>
              </w:rPr>
              <w:fldChar w:fldCharType="end"/>
            </w:r>
          </w:hyperlink>
        </w:p>
        <w:p w:rsidR="003E7D4E" w:rsidRDefault="00104973">
          <w:pPr>
            <w:pStyle w:val="Inhopg2"/>
            <w:tabs>
              <w:tab w:val="right" w:leader="dot" w:pos="9062"/>
            </w:tabs>
            <w:rPr>
              <w:rFonts w:asciiTheme="minorHAnsi" w:eastAsiaTheme="minorEastAsia" w:hAnsiTheme="minorHAnsi"/>
              <w:noProof/>
              <w:sz w:val="22"/>
              <w:lang w:eastAsia="nl-NL"/>
            </w:rPr>
          </w:pPr>
          <w:hyperlink w:anchor="_Toc454253680" w:history="1">
            <w:r w:rsidR="003E7D4E" w:rsidRPr="00D63D23">
              <w:rPr>
                <w:rStyle w:val="Hyperlink"/>
                <w:noProof/>
              </w:rPr>
              <w:t>5.5 Duur van het gebruik</w:t>
            </w:r>
            <w:r w:rsidR="003E7D4E">
              <w:rPr>
                <w:noProof/>
                <w:webHidden/>
              </w:rPr>
              <w:tab/>
            </w:r>
            <w:r>
              <w:rPr>
                <w:noProof/>
                <w:webHidden/>
              </w:rPr>
              <w:fldChar w:fldCharType="begin"/>
            </w:r>
            <w:r w:rsidR="003E7D4E">
              <w:rPr>
                <w:noProof/>
                <w:webHidden/>
              </w:rPr>
              <w:instrText xml:space="preserve"> PAGEREF _Toc454253680 \h </w:instrText>
            </w:r>
            <w:r>
              <w:rPr>
                <w:noProof/>
                <w:webHidden/>
              </w:rPr>
            </w:r>
            <w:r>
              <w:rPr>
                <w:noProof/>
                <w:webHidden/>
              </w:rPr>
              <w:fldChar w:fldCharType="separate"/>
            </w:r>
            <w:r w:rsidR="004A0F8D">
              <w:rPr>
                <w:noProof/>
                <w:webHidden/>
              </w:rPr>
              <w:t>41</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81" w:history="1">
            <w:r w:rsidR="003E7D4E" w:rsidRPr="00D63D23">
              <w:rPr>
                <w:rStyle w:val="Hyperlink"/>
                <w:noProof/>
              </w:rPr>
              <w:t>5.5.1 Afgewezen uitspraken</w:t>
            </w:r>
            <w:r w:rsidR="003E7D4E">
              <w:rPr>
                <w:noProof/>
                <w:webHidden/>
              </w:rPr>
              <w:tab/>
            </w:r>
            <w:r>
              <w:rPr>
                <w:noProof/>
                <w:webHidden/>
              </w:rPr>
              <w:fldChar w:fldCharType="begin"/>
            </w:r>
            <w:r w:rsidR="003E7D4E">
              <w:rPr>
                <w:noProof/>
                <w:webHidden/>
              </w:rPr>
              <w:instrText xml:space="preserve"> PAGEREF _Toc454253681 \h </w:instrText>
            </w:r>
            <w:r>
              <w:rPr>
                <w:noProof/>
                <w:webHidden/>
              </w:rPr>
            </w:r>
            <w:r>
              <w:rPr>
                <w:noProof/>
                <w:webHidden/>
              </w:rPr>
              <w:fldChar w:fldCharType="separate"/>
            </w:r>
            <w:r w:rsidR="004A0F8D">
              <w:rPr>
                <w:noProof/>
                <w:webHidden/>
              </w:rPr>
              <w:t>41</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82" w:history="1">
            <w:r w:rsidR="003E7D4E" w:rsidRPr="00D63D23">
              <w:rPr>
                <w:rStyle w:val="Hyperlink"/>
                <w:noProof/>
              </w:rPr>
              <w:t>5.5.2 Toegewezen uitspraken</w:t>
            </w:r>
            <w:r w:rsidR="003E7D4E">
              <w:rPr>
                <w:noProof/>
                <w:webHidden/>
              </w:rPr>
              <w:tab/>
            </w:r>
            <w:r>
              <w:rPr>
                <w:noProof/>
                <w:webHidden/>
              </w:rPr>
              <w:fldChar w:fldCharType="begin"/>
            </w:r>
            <w:r w:rsidR="003E7D4E">
              <w:rPr>
                <w:noProof/>
                <w:webHidden/>
              </w:rPr>
              <w:instrText xml:space="preserve"> PAGEREF _Toc454253682 \h </w:instrText>
            </w:r>
            <w:r>
              <w:rPr>
                <w:noProof/>
                <w:webHidden/>
              </w:rPr>
            </w:r>
            <w:r>
              <w:rPr>
                <w:noProof/>
                <w:webHidden/>
              </w:rPr>
              <w:fldChar w:fldCharType="separate"/>
            </w:r>
            <w:r w:rsidR="004A0F8D">
              <w:rPr>
                <w:noProof/>
                <w:webHidden/>
              </w:rPr>
              <w:t>43</w:t>
            </w:r>
            <w:r>
              <w:rPr>
                <w:noProof/>
                <w:webHidden/>
              </w:rPr>
              <w:fldChar w:fldCharType="end"/>
            </w:r>
          </w:hyperlink>
        </w:p>
        <w:p w:rsidR="003E7D4E" w:rsidRDefault="00104973">
          <w:pPr>
            <w:pStyle w:val="Inhopg3"/>
            <w:tabs>
              <w:tab w:val="right" w:leader="dot" w:pos="9062"/>
            </w:tabs>
            <w:rPr>
              <w:rFonts w:asciiTheme="minorHAnsi" w:eastAsiaTheme="minorEastAsia" w:hAnsiTheme="minorHAnsi"/>
              <w:noProof/>
              <w:sz w:val="22"/>
              <w:lang w:eastAsia="nl-NL"/>
            </w:rPr>
          </w:pPr>
          <w:hyperlink w:anchor="_Toc454253683" w:history="1">
            <w:r w:rsidR="003E7D4E" w:rsidRPr="00D63D23">
              <w:rPr>
                <w:rStyle w:val="Hyperlink"/>
                <w:noProof/>
              </w:rPr>
              <w:t>5.5.3 Conclusie: duur van het gebruik</w:t>
            </w:r>
            <w:r w:rsidR="003E7D4E">
              <w:rPr>
                <w:noProof/>
                <w:webHidden/>
              </w:rPr>
              <w:tab/>
            </w:r>
            <w:r>
              <w:rPr>
                <w:noProof/>
                <w:webHidden/>
              </w:rPr>
              <w:fldChar w:fldCharType="begin"/>
            </w:r>
            <w:r w:rsidR="003E7D4E">
              <w:rPr>
                <w:noProof/>
                <w:webHidden/>
              </w:rPr>
              <w:instrText xml:space="preserve"> PAGEREF _Toc454253683 \h </w:instrText>
            </w:r>
            <w:r>
              <w:rPr>
                <w:noProof/>
                <w:webHidden/>
              </w:rPr>
            </w:r>
            <w:r>
              <w:rPr>
                <w:noProof/>
                <w:webHidden/>
              </w:rPr>
              <w:fldChar w:fldCharType="separate"/>
            </w:r>
            <w:r w:rsidR="004A0F8D">
              <w:rPr>
                <w:noProof/>
                <w:webHidden/>
              </w:rPr>
              <w:t>44</w:t>
            </w:r>
            <w:r>
              <w:rPr>
                <w:noProof/>
                <w:webHidden/>
              </w:rPr>
              <w:fldChar w:fldCharType="end"/>
            </w:r>
          </w:hyperlink>
        </w:p>
        <w:p w:rsidR="003E7D4E" w:rsidRDefault="00104973">
          <w:pPr>
            <w:pStyle w:val="Inhopg1"/>
            <w:tabs>
              <w:tab w:val="right" w:leader="dot" w:pos="9062"/>
            </w:tabs>
            <w:rPr>
              <w:rFonts w:asciiTheme="minorHAnsi" w:eastAsiaTheme="minorEastAsia" w:hAnsiTheme="minorHAnsi"/>
              <w:noProof/>
              <w:sz w:val="22"/>
              <w:lang w:eastAsia="nl-NL"/>
            </w:rPr>
          </w:pPr>
          <w:hyperlink w:anchor="_Toc454253684" w:history="1">
            <w:r w:rsidR="003E7D4E" w:rsidRPr="00D63D23">
              <w:rPr>
                <w:rStyle w:val="Hyperlink"/>
                <w:noProof/>
              </w:rPr>
              <w:t>6. Conclusie</w:t>
            </w:r>
            <w:r w:rsidR="003E7D4E">
              <w:rPr>
                <w:noProof/>
                <w:webHidden/>
              </w:rPr>
              <w:tab/>
            </w:r>
            <w:r>
              <w:rPr>
                <w:noProof/>
                <w:webHidden/>
              </w:rPr>
              <w:fldChar w:fldCharType="begin"/>
            </w:r>
            <w:r w:rsidR="003E7D4E">
              <w:rPr>
                <w:noProof/>
                <w:webHidden/>
              </w:rPr>
              <w:instrText xml:space="preserve"> PAGEREF _Toc454253684 \h </w:instrText>
            </w:r>
            <w:r>
              <w:rPr>
                <w:noProof/>
                <w:webHidden/>
              </w:rPr>
            </w:r>
            <w:r>
              <w:rPr>
                <w:noProof/>
                <w:webHidden/>
              </w:rPr>
              <w:fldChar w:fldCharType="separate"/>
            </w:r>
            <w:r w:rsidR="004A0F8D">
              <w:rPr>
                <w:noProof/>
                <w:webHidden/>
              </w:rPr>
              <w:t>45</w:t>
            </w:r>
            <w:r>
              <w:rPr>
                <w:noProof/>
                <w:webHidden/>
              </w:rPr>
              <w:fldChar w:fldCharType="end"/>
            </w:r>
          </w:hyperlink>
        </w:p>
        <w:p w:rsidR="003E7D4E" w:rsidRDefault="00104973">
          <w:pPr>
            <w:pStyle w:val="Inhopg1"/>
            <w:tabs>
              <w:tab w:val="right" w:leader="dot" w:pos="9062"/>
            </w:tabs>
            <w:rPr>
              <w:rFonts w:asciiTheme="minorHAnsi" w:eastAsiaTheme="minorEastAsia" w:hAnsiTheme="minorHAnsi"/>
              <w:noProof/>
              <w:sz w:val="22"/>
              <w:lang w:eastAsia="nl-NL"/>
            </w:rPr>
          </w:pPr>
          <w:hyperlink w:anchor="_Toc454253685" w:history="1">
            <w:r w:rsidR="003E7D4E" w:rsidRPr="00D63D23">
              <w:rPr>
                <w:rStyle w:val="Hyperlink"/>
                <w:noProof/>
              </w:rPr>
              <w:t>Bronnenlijst</w:t>
            </w:r>
            <w:r w:rsidR="003E7D4E">
              <w:rPr>
                <w:noProof/>
                <w:webHidden/>
              </w:rPr>
              <w:tab/>
            </w:r>
            <w:r>
              <w:rPr>
                <w:noProof/>
                <w:webHidden/>
              </w:rPr>
              <w:fldChar w:fldCharType="begin"/>
            </w:r>
            <w:r w:rsidR="003E7D4E">
              <w:rPr>
                <w:noProof/>
                <w:webHidden/>
              </w:rPr>
              <w:instrText xml:space="preserve"> PAGEREF _Toc454253685 \h </w:instrText>
            </w:r>
            <w:r>
              <w:rPr>
                <w:noProof/>
                <w:webHidden/>
              </w:rPr>
            </w:r>
            <w:r>
              <w:rPr>
                <w:noProof/>
                <w:webHidden/>
              </w:rPr>
              <w:fldChar w:fldCharType="separate"/>
            </w:r>
            <w:r w:rsidR="004A0F8D">
              <w:rPr>
                <w:noProof/>
                <w:webHidden/>
              </w:rPr>
              <w:t>49</w:t>
            </w:r>
            <w:r>
              <w:rPr>
                <w:noProof/>
                <w:webHidden/>
              </w:rPr>
              <w:fldChar w:fldCharType="end"/>
            </w:r>
          </w:hyperlink>
        </w:p>
        <w:p w:rsidR="003E7D4E" w:rsidRDefault="00104973">
          <w:pPr>
            <w:pStyle w:val="Inhopg1"/>
            <w:tabs>
              <w:tab w:val="right" w:leader="dot" w:pos="9062"/>
            </w:tabs>
            <w:rPr>
              <w:rFonts w:asciiTheme="minorHAnsi" w:eastAsiaTheme="minorEastAsia" w:hAnsiTheme="minorHAnsi"/>
              <w:noProof/>
              <w:sz w:val="22"/>
              <w:lang w:eastAsia="nl-NL"/>
            </w:rPr>
          </w:pPr>
          <w:hyperlink w:anchor="_Toc454253686" w:history="1">
            <w:r w:rsidR="003E7D4E" w:rsidRPr="00D63D23">
              <w:rPr>
                <w:rStyle w:val="Hyperlink"/>
                <w:noProof/>
              </w:rPr>
              <w:t>Bijlagen</w:t>
            </w:r>
            <w:r w:rsidR="003E7D4E">
              <w:rPr>
                <w:noProof/>
                <w:webHidden/>
              </w:rPr>
              <w:tab/>
            </w:r>
            <w:r>
              <w:rPr>
                <w:noProof/>
                <w:webHidden/>
              </w:rPr>
              <w:fldChar w:fldCharType="begin"/>
            </w:r>
            <w:r w:rsidR="003E7D4E">
              <w:rPr>
                <w:noProof/>
                <w:webHidden/>
              </w:rPr>
              <w:instrText xml:space="preserve"> PAGEREF _Toc454253686 \h </w:instrText>
            </w:r>
            <w:r>
              <w:rPr>
                <w:noProof/>
                <w:webHidden/>
              </w:rPr>
            </w:r>
            <w:r>
              <w:rPr>
                <w:noProof/>
                <w:webHidden/>
              </w:rPr>
              <w:fldChar w:fldCharType="separate"/>
            </w:r>
            <w:r w:rsidR="004A0F8D">
              <w:rPr>
                <w:noProof/>
                <w:webHidden/>
              </w:rPr>
              <w:t>52</w:t>
            </w:r>
            <w:r>
              <w:rPr>
                <w:noProof/>
                <w:webHidden/>
              </w:rPr>
              <w:fldChar w:fldCharType="end"/>
            </w:r>
          </w:hyperlink>
        </w:p>
        <w:p w:rsidR="0058322C" w:rsidRPr="008E33DF" w:rsidRDefault="00104973">
          <w:r w:rsidRPr="008E33DF">
            <w:fldChar w:fldCharType="end"/>
          </w:r>
        </w:p>
      </w:sdtContent>
    </w:sdt>
    <w:p w:rsidR="00AA6200" w:rsidRDefault="00AA6200">
      <w:pPr>
        <w:rPr>
          <w:rFonts w:cs="Helvetica"/>
          <w:i/>
        </w:rPr>
      </w:pPr>
    </w:p>
    <w:p w:rsidR="001E614E" w:rsidRPr="008E33DF" w:rsidRDefault="001E614E">
      <w:pPr>
        <w:rPr>
          <w:rFonts w:cs="Helvetica"/>
          <w:i/>
        </w:rPr>
      </w:pPr>
    </w:p>
    <w:p w:rsidR="00AA6200" w:rsidRPr="008E33DF" w:rsidRDefault="00AA6200" w:rsidP="00344B0B">
      <w:pPr>
        <w:pStyle w:val="Kop1"/>
      </w:pPr>
      <w:bookmarkStart w:id="2" w:name="_Toc454253631"/>
      <w:r w:rsidRPr="008E33DF">
        <w:lastRenderedPageBreak/>
        <w:t>Lijst van gebruikte afkortingen</w:t>
      </w:r>
      <w:bookmarkEnd w:id="2"/>
    </w:p>
    <w:p w:rsidR="00AA6200" w:rsidRPr="008E33DF" w:rsidRDefault="00AA6200">
      <w:pPr>
        <w:rPr>
          <w:rFonts w:cs="Helvetica"/>
          <w:i/>
        </w:rPr>
      </w:pPr>
    </w:p>
    <w:p w:rsidR="002264CB" w:rsidRPr="008E33DF" w:rsidRDefault="002264CB" w:rsidP="002264CB">
      <w:r w:rsidRPr="008E33DF">
        <w:t>Art.</w:t>
      </w:r>
      <w:r w:rsidRPr="008E33DF">
        <w:tab/>
      </w:r>
      <w:r w:rsidRPr="008E33DF">
        <w:tab/>
        <w:t>Artikel</w:t>
      </w:r>
    </w:p>
    <w:p w:rsidR="002264CB" w:rsidRPr="008E33DF" w:rsidRDefault="002264CB" w:rsidP="002264CB">
      <w:r w:rsidRPr="008E33DF">
        <w:t>BW</w:t>
      </w:r>
      <w:r w:rsidRPr="008E33DF">
        <w:tab/>
      </w:r>
      <w:r w:rsidRPr="008E33DF">
        <w:tab/>
        <w:t>Burgerlijk Wetboek</w:t>
      </w:r>
    </w:p>
    <w:p w:rsidR="002264CB" w:rsidRPr="008E33DF" w:rsidRDefault="002264CB" w:rsidP="002264CB">
      <w:r w:rsidRPr="008E33DF">
        <w:t>Aant.</w:t>
      </w:r>
      <w:r w:rsidRPr="008E33DF">
        <w:tab/>
      </w:r>
      <w:r w:rsidRPr="008E33DF">
        <w:tab/>
        <w:t>Aantekening</w:t>
      </w:r>
    </w:p>
    <w:p w:rsidR="002264CB" w:rsidRPr="008E33DF" w:rsidRDefault="002264CB" w:rsidP="002264CB">
      <w:r w:rsidRPr="008E33DF">
        <w:t>HR</w:t>
      </w:r>
      <w:r w:rsidRPr="008E33DF">
        <w:tab/>
      </w:r>
      <w:r w:rsidRPr="008E33DF">
        <w:tab/>
        <w:t>Hoge Raad</w:t>
      </w:r>
    </w:p>
    <w:p w:rsidR="002264CB" w:rsidRPr="008E33DF" w:rsidRDefault="002264CB" w:rsidP="002264CB">
      <w:r w:rsidRPr="008E33DF">
        <w:t>Rb.</w:t>
      </w:r>
      <w:r w:rsidRPr="008E33DF">
        <w:tab/>
      </w:r>
      <w:r w:rsidRPr="008E33DF">
        <w:tab/>
        <w:t>Rechtbank</w:t>
      </w:r>
    </w:p>
    <w:p w:rsidR="002264CB" w:rsidRPr="008E33DF" w:rsidRDefault="002264CB" w:rsidP="002264CB">
      <w:r w:rsidRPr="008E33DF">
        <w:t>Ktr.</w:t>
      </w:r>
      <w:r w:rsidRPr="008E33DF">
        <w:tab/>
      </w:r>
      <w:r w:rsidRPr="008E33DF">
        <w:tab/>
        <w:t>Kantonrechter</w:t>
      </w:r>
    </w:p>
    <w:p w:rsidR="002264CB" w:rsidRPr="008E33DF" w:rsidRDefault="002264CB" w:rsidP="002264CB">
      <w:r w:rsidRPr="008E33DF">
        <w:t>T/m</w:t>
      </w:r>
      <w:r w:rsidRPr="008E33DF">
        <w:tab/>
      </w:r>
      <w:r w:rsidRPr="008E33DF">
        <w:tab/>
        <w:t>Tot en met</w:t>
      </w:r>
    </w:p>
    <w:p w:rsidR="002264CB" w:rsidRPr="008E33DF" w:rsidRDefault="002264CB" w:rsidP="002264CB">
      <w:r w:rsidRPr="008E33DF">
        <w:t>Jo.</w:t>
      </w:r>
      <w:r w:rsidRPr="008E33DF">
        <w:tab/>
      </w:r>
      <w:r w:rsidRPr="008E33DF">
        <w:tab/>
        <w:t>Juncto</w:t>
      </w:r>
    </w:p>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AA6200" w:rsidRPr="008E33DF" w:rsidRDefault="00AA6200" w:rsidP="00484359"/>
    <w:p w:rsidR="00344B0B" w:rsidRPr="008E33DF" w:rsidRDefault="00344B0B" w:rsidP="00484359">
      <w:pPr>
        <w:rPr>
          <w:b/>
          <w:sz w:val="28"/>
          <w:szCs w:val="28"/>
        </w:rPr>
      </w:pPr>
    </w:p>
    <w:p w:rsidR="00344B0B" w:rsidRPr="008E33DF" w:rsidRDefault="00344B0B" w:rsidP="00484359">
      <w:pPr>
        <w:rPr>
          <w:b/>
          <w:sz w:val="28"/>
          <w:szCs w:val="28"/>
        </w:rPr>
      </w:pPr>
    </w:p>
    <w:p w:rsidR="00344B0B" w:rsidRPr="008E33DF" w:rsidRDefault="00344B0B" w:rsidP="00484359">
      <w:pPr>
        <w:rPr>
          <w:b/>
          <w:sz w:val="28"/>
          <w:szCs w:val="28"/>
        </w:rPr>
      </w:pPr>
    </w:p>
    <w:p w:rsidR="00344B0B" w:rsidRPr="008E33DF" w:rsidRDefault="00344B0B" w:rsidP="00484359">
      <w:pPr>
        <w:rPr>
          <w:b/>
          <w:sz w:val="28"/>
          <w:szCs w:val="28"/>
        </w:rPr>
      </w:pPr>
    </w:p>
    <w:p w:rsidR="00344B0B" w:rsidRPr="008E33DF" w:rsidRDefault="00344B0B" w:rsidP="00484359">
      <w:pPr>
        <w:rPr>
          <w:b/>
          <w:sz w:val="28"/>
          <w:szCs w:val="28"/>
        </w:rPr>
      </w:pPr>
    </w:p>
    <w:p w:rsidR="00AA6200" w:rsidRPr="008E33DF" w:rsidRDefault="00AA6200" w:rsidP="00344B0B">
      <w:pPr>
        <w:pStyle w:val="Kop1"/>
      </w:pPr>
      <w:bookmarkStart w:id="3" w:name="_Toc454253632"/>
      <w:r w:rsidRPr="008E33DF">
        <w:lastRenderedPageBreak/>
        <w:t>1. Inleiding</w:t>
      </w:r>
      <w:bookmarkEnd w:id="3"/>
    </w:p>
    <w:p w:rsidR="00344B0B" w:rsidRPr="008E33DF" w:rsidRDefault="00344B0B" w:rsidP="00344B0B"/>
    <w:p w:rsidR="00AA6200" w:rsidRPr="008E33DF" w:rsidRDefault="00AA6200" w:rsidP="00426A70">
      <w:pPr>
        <w:pStyle w:val="Kop2"/>
      </w:pPr>
      <w:bookmarkStart w:id="4" w:name="_Toc454253633"/>
      <w:r w:rsidRPr="008E33DF">
        <w:t>1.1 Aanleiding onderzoek en probleemanalyse</w:t>
      </w:r>
      <w:bookmarkEnd w:id="4"/>
    </w:p>
    <w:p w:rsidR="006F023F" w:rsidRPr="008E33DF" w:rsidRDefault="008612B8">
      <w:pPr>
        <w:rPr>
          <w:rFonts w:cs="Helvetica"/>
          <w:i/>
        </w:rPr>
      </w:pPr>
      <w:r w:rsidRPr="008E33DF">
        <w:rPr>
          <w:rFonts w:cs="Helvetica"/>
          <w:i/>
        </w:rPr>
        <w:t xml:space="preserve">Josien Bannink is dringend op zoek naar woonruimte. Wooncorporatie Ymere </w:t>
      </w:r>
      <w:r w:rsidR="008E3F63" w:rsidRPr="008E33DF">
        <w:rPr>
          <w:rFonts w:cs="Helvetica"/>
          <w:i/>
        </w:rPr>
        <w:t>heeft op verzoek van Bannink een woning</w:t>
      </w:r>
      <w:r w:rsidR="006F023F" w:rsidRPr="008E33DF">
        <w:rPr>
          <w:rFonts w:cs="Helvetica"/>
          <w:i/>
        </w:rPr>
        <w:t xml:space="preserve"> aan haar</w:t>
      </w:r>
      <w:r w:rsidR="008E3F63" w:rsidRPr="008E33DF">
        <w:rPr>
          <w:rFonts w:cs="Helvetica"/>
          <w:i/>
        </w:rPr>
        <w:t xml:space="preserve"> verhuurd bij overeenkomst van 20 mei 2003.</w:t>
      </w:r>
      <w:r w:rsidR="001F6F54" w:rsidRPr="008E33DF">
        <w:rPr>
          <w:rFonts w:cs="Helvetica"/>
          <w:i/>
        </w:rPr>
        <w:t>U</w:t>
      </w:r>
      <w:r w:rsidR="008E3F63" w:rsidRPr="008E33DF">
        <w:rPr>
          <w:rFonts w:cs="Helvetica"/>
          <w:i/>
        </w:rPr>
        <w:t xml:space="preserve">it het opschrift en de bepalingen van de huurovereenkomst </w:t>
      </w:r>
      <w:r w:rsidR="001F6F54" w:rsidRPr="008E33DF">
        <w:rPr>
          <w:rFonts w:cs="Helvetica"/>
          <w:i/>
        </w:rPr>
        <w:t xml:space="preserve">blijkt </w:t>
      </w:r>
      <w:r w:rsidRPr="008E33DF">
        <w:rPr>
          <w:rFonts w:cs="Helvetica"/>
          <w:i/>
        </w:rPr>
        <w:t>duidelijk</w:t>
      </w:r>
      <w:r w:rsidR="001F6F54" w:rsidRPr="008E33DF">
        <w:rPr>
          <w:rFonts w:cs="Helvetica"/>
          <w:i/>
        </w:rPr>
        <w:t>,</w:t>
      </w:r>
      <w:r w:rsidRPr="008E33DF">
        <w:rPr>
          <w:rFonts w:cs="Helvetica"/>
          <w:i/>
        </w:rPr>
        <w:t xml:space="preserve"> dat partijen een huurovereenkomst van relatief korte duur voor ogen h</w:t>
      </w:r>
      <w:r w:rsidR="001F6F54" w:rsidRPr="008E33DF">
        <w:rPr>
          <w:rFonts w:cs="Helvetica"/>
          <w:i/>
        </w:rPr>
        <w:t>adden</w:t>
      </w:r>
      <w:r w:rsidRPr="008E33DF">
        <w:rPr>
          <w:rFonts w:cs="Helvetica"/>
          <w:i/>
        </w:rPr>
        <w:t xml:space="preserve">. </w:t>
      </w:r>
      <w:r w:rsidR="008E3F63" w:rsidRPr="008E33DF">
        <w:rPr>
          <w:rFonts w:cs="Helvetica"/>
          <w:i/>
        </w:rPr>
        <w:t>De huurovereen</w:t>
      </w:r>
      <w:r w:rsidR="00184913" w:rsidRPr="008E33DF">
        <w:rPr>
          <w:rFonts w:cs="Helvetica"/>
          <w:i/>
        </w:rPr>
        <w:t>komst zal in elk geval eindigen</w:t>
      </w:r>
      <w:r w:rsidR="008E3F63" w:rsidRPr="008E33DF">
        <w:rPr>
          <w:rFonts w:cs="Helvetica"/>
          <w:i/>
        </w:rPr>
        <w:t xml:space="preserve"> één jaar nadat de huurovereenkomst is ingegaan. </w:t>
      </w:r>
      <w:r w:rsidR="001F6F54" w:rsidRPr="008E33DF">
        <w:rPr>
          <w:rFonts w:cs="Helvetica"/>
          <w:i/>
        </w:rPr>
        <w:t xml:space="preserve">Mevrouw </w:t>
      </w:r>
      <w:r w:rsidR="008E3F63" w:rsidRPr="008E33DF">
        <w:rPr>
          <w:rFonts w:cs="Helvetica"/>
          <w:i/>
        </w:rPr>
        <w:t>Bannin</w:t>
      </w:r>
      <w:r w:rsidR="006F023F" w:rsidRPr="008E33DF">
        <w:rPr>
          <w:rFonts w:cs="Helvetica"/>
          <w:i/>
        </w:rPr>
        <w:t>k</w:t>
      </w:r>
      <w:r w:rsidR="008E3F63" w:rsidRPr="008E33DF">
        <w:rPr>
          <w:rFonts w:cs="Helvetica"/>
          <w:i/>
        </w:rPr>
        <w:t xml:space="preserve"> heeft de woning op 20 mei 2004 niet ontruimd, terwijl volgens Ymere de hu</w:t>
      </w:r>
      <w:r w:rsidR="00184913" w:rsidRPr="008E33DF">
        <w:rPr>
          <w:rFonts w:cs="Helvetica"/>
          <w:i/>
        </w:rPr>
        <w:t>urovereenkomst per 20 mei 2004 b</w:t>
      </w:r>
      <w:r w:rsidR="008E3F63" w:rsidRPr="008E33DF">
        <w:rPr>
          <w:rFonts w:cs="Helvetica"/>
          <w:i/>
        </w:rPr>
        <w:t xml:space="preserve">eëindigd is en </w:t>
      </w:r>
      <w:r w:rsidR="001F6F54" w:rsidRPr="008E33DF">
        <w:rPr>
          <w:rFonts w:cs="Helvetica"/>
          <w:i/>
        </w:rPr>
        <w:t>zij</w:t>
      </w:r>
      <w:r w:rsidR="00D4304F" w:rsidRPr="008E33DF">
        <w:rPr>
          <w:rFonts w:cs="Helvetica"/>
          <w:i/>
        </w:rPr>
        <w:t xml:space="preserve"> </w:t>
      </w:r>
      <w:r w:rsidR="00184913" w:rsidRPr="008E33DF">
        <w:rPr>
          <w:rFonts w:cs="Helvetica"/>
          <w:i/>
        </w:rPr>
        <w:t xml:space="preserve">dus </w:t>
      </w:r>
      <w:r w:rsidR="008E3F63" w:rsidRPr="008E33DF">
        <w:rPr>
          <w:rFonts w:cs="Helvetica"/>
          <w:i/>
        </w:rPr>
        <w:t>de woning</w:t>
      </w:r>
      <w:r w:rsidR="003629ED" w:rsidRPr="008E33DF">
        <w:rPr>
          <w:rFonts w:cs="Helvetica"/>
          <w:i/>
        </w:rPr>
        <w:t xml:space="preserve"> had</w:t>
      </w:r>
      <w:r w:rsidR="00D4304F" w:rsidRPr="008E33DF">
        <w:rPr>
          <w:rFonts w:cs="Helvetica"/>
          <w:i/>
        </w:rPr>
        <w:t xml:space="preserve"> </w:t>
      </w:r>
      <w:r w:rsidR="008E3F63" w:rsidRPr="008E33DF">
        <w:rPr>
          <w:rFonts w:cs="Helvetica"/>
          <w:i/>
        </w:rPr>
        <w:t>moeten ontruimen. De kantonrec</w:t>
      </w:r>
      <w:r w:rsidR="00184913" w:rsidRPr="008E33DF">
        <w:rPr>
          <w:rFonts w:cs="Helvetica"/>
          <w:i/>
        </w:rPr>
        <w:t xml:space="preserve">hter is het met Ymere eens, </w:t>
      </w:r>
      <w:r w:rsidR="001F6F54" w:rsidRPr="008E33DF">
        <w:rPr>
          <w:rFonts w:cs="Helvetica"/>
          <w:i/>
        </w:rPr>
        <w:t>maa</w:t>
      </w:r>
      <w:r w:rsidR="00184913" w:rsidRPr="008E33DF">
        <w:rPr>
          <w:rFonts w:cs="Helvetica"/>
          <w:i/>
        </w:rPr>
        <w:t xml:space="preserve">r </w:t>
      </w:r>
      <w:r w:rsidR="008E3F63" w:rsidRPr="008E33DF">
        <w:rPr>
          <w:rFonts w:cs="Helvetica"/>
          <w:i/>
        </w:rPr>
        <w:t>in hoger beroep beslist het Hof dat de huurovereenkomst van rechtswege van kracht is gebleven.</w:t>
      </w:r>
      <w:r w:rsidR="00D4304F" w:rsidRPr="008E33DF">
        <w:rPr>
          <w:rFonts w:cs="Helvetica"/>
          <w:i/>
        </w:rPr>
        <w:t xml:space="preserve"> </w:t>
      </w:r>
      <w:r w:rsidR="001F6F54" w:rsidRPr="008E33DF">
        <w:rPr>
          <w:rFonts w:cs="Helvetica"/>
          <w:i/>
        </w:rPr>
        <w:t>Aa</w:t>
      </w:r>
      <w:r w:rsidR="00D4304F" w:rsidRPr="008E33DF">
        <w:rPr>
          <w:rFonts w:cs="Helvetica"/>
          <w:i/>
        </w:rPr>
        <w:t>n</w:t>
      </w:r>
      <w:r w:rsidR="006F023F" w:rsidRPr="008E33DF">
        <w:rPr>
          <w:rFonts w:cs="Helvetica"/>
          <w:i/>
        </w:rPr>
        <w:t xml:space="preserve"> de totstandkoming van </w:t>
      </w:r>
      <w:r w:rsidR="001F6F54" w:rsidRPr="008E33DF">
        <w:rPr>
          <w:rFonts w:cs="Helvetica"/>
          <w:i/>
        </w:rPr>
        <w:t>de</w:t>
      </w:r>
      <w:r w:rsidR="006F023F" w:rsidRPr="008E33DF">
        <w:rPr>
          <w:rFonts w:cs="Helvetica"/>
          <w:i/>
        </w:rPr>
        <w:t xml:space="preserve"> beslissing van het Hof ligt het volgende ten grondslag. </w:t>
      </w:r>
    </w:p>
    <w:p w:rsidR="00EA51E1" w:rsidRPr="008E33DF" w:rsidRDefault="006F023F">
      <w:pPr>
        <w:rPr>
          <w:rFonts w:cs="Helvetica"/>
          <w:i/>
        </w:rPr>
      </w:pPr>
      <w:r w:rsidRPr="008E33DF">
        <w:rPr>
          <w:rFonts w:cs="Helvetica"/>
          <w:i/>
        </w:rPr>
        <w:t xml:space="preserve">Ymere heeft aangevoerd dat </w:t>
      </w:r>
      <w:r w:rsidR="0030701D" w:rsidRPr="008E33DF">
        <w:rPr>
          <w:rFonts w:cs="Helvetica"/>
          <w:i/>
        </w:rPr>
        <w:t xml:space="preserve">het </w:t>
      </w:r>
      <w:r w:rsidRPr="008E33DF">
        <w:rPr>
          <w:rFonts w:cs="Helvetica"/>
          <w:i/>
        </w:rPr>
        <w:t xml:space="preserve">hier gaat om huur </w:t>
      </w:r>
      <w:r w:rsidR="001F6F54" w:rsidRPr="008E33DF">
        <w:rPr>
          <w:rFonts w:cs="Helvetica"/>
          <w:i/>
        </w:rPr>
        <w:t>die</w:t>
      </w:r>
      <w:r w:rsidRPr="008E33DF">
        <w:rPr>
          <w:rFonts w:cs="Helvetica"/>
          <w:i/>
        </w:rPr>
        <w:t xml:space="preserve"> een gebruik van woonruimte betreft dat naar zijn aard slechts van korte duur is in de zin van art. 7:232 lid 2 BW. </w:t>
      </w:r>
      <w:r w:rsidR="001F6F54" w:rsidRPr="008E33DF">
        <w:rPr>
          <w:rFonts w:cs="Helvetica"/>
          <w:i/>
        </w:rPr>
        <w:t>'</w:t>
      </w:r>
      <w:r w:rsidRPr="008E33DF">
        <w:rPr>
          <w:rFonts w:cs="Helvetica"/>
          <w:i/>
        </w:rPr>
        <w:t xml:space="preserve">Bij een bevestigende beantwoording van de vraag </w:t>
      </w:r>
      <w:r w:rsidR="0030701D" w:rsidRPr="008E33DF">
        <w:rPr>
          <w:rFonts w:cs="Helvetica"/>
          <w:i/>
        </w:rPr>
        <w:t xml:space="preserve">of </w:t>
      </w:r>
      <w:r w:rsidRPr="008E33DF">
        <w:rPr>
          <w:rFonts w:cs="Helvetica"/>
          <w:i/>
        </w:rPr>
        <w:t>zich</w:t>
      </w:r>
      <w:r w:rsidR="0030701D" w:rsidRPr="008E33DF">
        <w:rPr>
          <w:rFonts w:cs="Helvetica"/>
          <w:i/>
        </w:rPr>
        <w:t xml:space="preserve"> een</w:t>
      </w:r>
      <w:r w:rsidRPr="008E33DF">
        <w:rPr>
          <w:rFonts w:cs="Helvetica"/>
          <w:i/>
        </w:rPr>
        <w:t xml:space="preserve"> zodanig geval voordoet, past terughoudendheid.</w:t>
      </w:r>
      <w:r w:rsidR="00D4304F" w:rsidRPr="008E33DF">
        <w:rPr>
          <w:rFonts w:cs="Helvetica"/>
          <w:i/>
        </w:rPr>
        <w:t xml:space="preserve"> </w:t>
      </w:r>
      <w:r w:rsidRPr="008E33DF">
        <w:rPr>
          <w:rFonts w:cs="Helvetica"/>
          <w:i/>
        </w:rPr>
        <w:t>Gelet moet worden op de aard van het gebruik en die van de woning alsmede op hetgeen partijen omtrent de duur van het gebruik voor ogen heeft gestaan (HR 8 januari 1999, NJ 1999, 495 PAS).</w:t>
      </w:r>
      <w:r w:rsidR="001F6F54" w:rsidRPr="008E33DF">
        <w:rPr>
          <w:rFonts w:cs="Helvetica"/>
          <w:i/>
        </w:rPr>
        <w:t>'</w:t>
      </w:r>
    </w:p>
    <w:p w:rsidR="008E3F63" w:rsidRPr="008E33DF" w:rsidRDefault="0016708F">
      <w:pPr>
        <w:rPr>
          <w:rFonts w:cs="Helvetica"/>
          <w:i/>
        </w:rPr>
      </w:pPr>
      <w:r w:rsidRPr="008E33DF">
        <w:rPr>
          <w:rFonts w:cs="Helvetica"/>
          <w:i/>
        </w:rPr>
        <w:t xml:space="preserve">Het Hof is van mening dat in deze zaak niet is gebleken dat naar de aard van het gebruik van de woning een beroep op art. 7:232 lid 2 gerechtvaardigd </w:t>
      </w:r>
      <w:r w:rsidR="001F6F54" w:rsidRPr="008E33DF">
        <w:rPr>
          <w:rFonts w:cs="Helvetica"/>
          <w:i/>
        </w:rPr>
        <w:t>is</w:t>
      </w:r>
      <w:r w:rsidRPr="008E33DF">
        <w:rPr>
          <w:rFonts w:cs="Helvetica"/>
          <w:i/>
        </w:rPr>
        <w:t xml:space="preserve">. </w:t>
      </w:r>
      <w:r w:rsidR="001F6F54" w:rsidRPr="008E33DF">
        <w:rPr>
          <w:rFonts w:cs="Helvetica"/>
          <w:i/>
        </w:rPr>
        <w:t>'</w:t>
      </w:r>
      <w:r w:rsidRPr="008E33DF">
        <w:rPr>
          <w:rFonts w:cs="Helvetica"/>
          <w:i/>
        </w:rPr>
        <w:t>In tegendeel: de tijdelijke huur is juist bedongen met het oog op verkoop en daarmee met het oog op soortgelijk gebruik als waar de huurovereenkomst betrekking</w:t>
      </w:r>
      <w:r w:rsidR="003629ED" w:rsidRPr="008E33DF">
        <w:rPr>
          <w:rFonts w:cs="Helvetica"/>
          <w:i/>
        </w:rPr>
        <w:t xml:space="preserve"> op</w:t>
      </w:r>
      <w:r w:rsidRPr="008E33DF">
        <w:rPr>
          <w:rFonts w:cs="Helvetica"/>
          <w:i/>
        </w:rPr>
        <w:t xml:space="preserve"> heeft.</w:t>
      </w:r>
      <w:r w:rsidR="001F6F54" w:rsidRPr="008E33DF">
        <w:rPr>
          <w:rFonts w:cs="Helvetica"/>
          <w:i/>
        </w:rPr>
        <w:t>'</w:t>
      </w:r>
      <w:r w:rsidRPr="008E33DF">
        <w:rPr>
          <w:rFonts w:cs="Helvetica"/>
          <w:i/>
        </w:rPr>
        <w:t xml:space="preserve"> Enkel het feit dat de huurovereenkomst i</w:t>
      </w:r>
      <w:r w:rsidR="001F6F54" w:rsidRPr="008E33DF">
        <w:rPr>
          <w:rFonts w:cs="Helvetica"/>
          <w:i/>
        </w:rPr>
        <w:t>s aangegaan voor de duur van een</w:t>
      </w:r>
      <w:r w:rsidRPr="008E33DF">
        <w:rPr>
          <w:rFonts w:cs="Helvetica"/>
          <w:i/>
        </w:rPr>
        <w:t xml:space="preserve"> jaar is onvoldoende om de </w:t>
      </w:r>
      <w:r w:rsidR="00246EA0" w:rsidRPr="008E33DF">
        <w:rPr>
          <w:rFonts w:cs="Helvetica"/>
          <w:i/>
        </w:rPr>
        <w:t>deze</w:t>
      </w:r>
      <w:r w:rsidRPr="008E33DF">
        <w:rPr>
          <w:rFonts w:cs="Helvetica"/>
          <w:i/>
        </w:rPr>
        <w:t xml:space="preserve"> te kwalificeren al</w:t>
      </w:r>
      <w:r w:rsidR="003629ED" w:rsidRPr="008E33DF">
        <w:rPr>
          <w:rFonts w:cs="Helvetica"/>
          <w:i/>
        </w:rPr>
        <w:t>s een huurovereenkomst die</w:t>
      </w:r>
      <w:r w:rsidRPr="008E33DF">
        <w:rPr>
          <w:rFonts w:cs="Helvetica"/>
          <w:i/>
        </w:rPr>
        <w:t xml:space="preserve"> naar zijn aard van korte duur is.</w:t>
      </w:r>
      <w:r w:rsidR="00EA51E1" w:rsidRPr="008E33DF">
        <w:rPr>
          <w:rStyle w:val="Voetnootmarkering"/>
          <w:rFonts w:cs="Helvetica"/>
          <w:i/>
        </w:rPr>
        <w:footnoteReference w:id="2"/>
      </w:r>
    </w:p>
    <w:p w:rsidR="003629ED" w:rsidRPr="008E33DF" w:rsidRDefault="003629ED">
      <w:pPr>
        <w:rPr>
          <w:rFonts w:cs="Helvetica"/>
          <w:i/>
        </w:rPr>
      </w:pPr>
    </w:p>
    <w:p w:rsidR="00D4304F" w:rsidRPr="008E33DF" w:rsidRDefault="00EA51E1" w:rsidP="009C11D5">
      <w:pPr>
        <w:rPr>
          <w:rFonts w:cs="Helvetica"/>
        </w:rPr>
      </w:pPr>
      <w:r w:rsidRPr="008E33DF">
        <w:rPr>
          <w:rFonts w:cs="Helvetica"/>
        </w:rPr>
        <w:t xml:space="preserve">In </w:t>
      </w:r>
      <w:r w:rsidR="009C11D5" w:rsidRPr="008E33DF">
        <w:rPr>
          <w:rFonts w:cs="Helvetica"/>
        </w:rPr>
        <w:t>de uitspraak</w:t>
      </w:r>
      <w:r w:rsidRPr="008E33DF">
        <w:rPr>
          <w:rFonts w:cs="Helvetica"/>
        </w:rPr>
        <w:t xml:space="preserve"> hierboven </w:t>
      </w:r>
      <w:r w:rsidR="00246EA0" w:rsidRPr="008E33DF">
        <w:rPr>
          <w:rFonts w:cs="Helvetica"/>
        </w:rPr>
        <w:t>staat</w:t>
      </w:r>
      <w:r w:rsidRPr="008E33DF">
        <w:rPr>
          <w:rFonts w:cs="Helvetica"/>
        </w:rPr>
        <w:t xml:space="preserve"> dat hoewel partijen ti</w:t>
      </w:r>
      <w:r w:rsidR="0030701D" w:rsidRPr="008E33DF">
        <w:rPr>
          <w:rFonts w:cs="Helvetica"/>
        </w:rPr>
        <w:t xml:space="preserve">jdelijke </w:t>
      </w:r>
      <w:r w:rsidR="003629ED" w:rsidRPr="008E33DF">
        <w:rPr>
          <w:rFonts w:cs="Helvetica"/>
        </w:rPr>
        <w:t>huur</w:t>
      </w:r>
      <w:r w:rsidR="0030701D" w:rsidRPr="008E33DF">
        <w:rPr>
          <w:rFonts w:cs="Helvetica"/>
        </w:rPr>
        <w:t xml:space="preserve"> voor ogen hadden</w:t>
      </w:r>
      <w:r w:rsidRPr="008E33DF">
        <w:rPr>
          <w:rFonts w:cs="Helvetica"/>
        </w:rPr>
        <w:t xml:space="preserve">, een huurovereenkomst is ontstaan </w:t>
      </w:r>
      <w:r w:rsidR="009C11D5" w:rsidRPr="008E33DF">
        <w:rPr>
          <w:rFonts w:cs="Helvetica"/>
        </w:rPr>
        <w:t>voor</w:t>
      </w:r>
      <w:r w:rsidRPr="008E33DF">
        <w:rPr>
          <w:rFonts w:cs="Helvetica"/>
        </w:rPr>
        <w:t xml:space="preserve"> onbepaalde tijd. </w:t>
      </w:r>
      <w:r w:rsidR="009C11D5" w:rsidRPr="008E33DF">
        <w:rPr>
          <w:rFonts w:cs="Helvetica"/>
        </w:rPr>
        <w:t>Onze Advocaat is een advocatenkantoor met onder a</w:t>
      </w:r>
      <w:r w:rsidR="0030701D" w:rsidRPr="008E33DF">
        <w:rPr>
          <w:rFonts w:cs="Helvetica"/>
        </w:rPr>
        <w:t>ndere huurrecht als specialisme</w:t>
      </w:r>
      <w:r w:rsidR="009C11D5" w:rsidRPr="008E33DF">
        <w:rPr>
          <w:rFonts w:cs="Helvetica"/>
        </w:rPr>
        <w:t xml:space="preserve">. Het kantoor heeft vele klanten die hun woonruimte verhuren aan particulieren. </w:t>
      </w:r>
      <w:r w:rsidR="00246EA0" w:rsidRPr="008E33DF">
        <w:rPr>
          <w:rFonts w:cs="Helvetica"/>
        </w:rPr>
        <w:t>Er</w:t>
      </w:r>
      <w:r w:rsidR="0030701D" w:rsidRPr="008E33DF">
        <w:rPr>
          <w:rFonts w:cs="Helvetica"/>
        </w:rPr>
        <w:t xml:space="preserve"> komen s</w:t>
      </w:r>
      <w:r w:rsidR="009C11D5" w:rsidRPr="008E33DF">
        <w:rPr>
          <w:rFonts w:cs="Helvetica"/>
        </w:rPr>
        <w:t xml:space="preserve">teeds meer vragen </w:t>
      </w:r>
      <w:r w:rsidR="00246EA0" w:rsidRPr="008E33DF">
        <w:rPr>
          <w:rFonts w:cs="Helvetica"/>
        </w:rPr>
        <w:t xml:space="preserve">binnen </w:t>
      </w:r>
      <w:r w:rsidR="009C11D5" w:rsidRPr="008E33DF">
        <w:rPr>
          <w:rFonts w:cs="Helvetica"/>
        </w:rPr>
        <w:t>over</w:t>
      </w:r>
      <w:r w:rsidR="00246EA0" w:rsidRPr="008E33DF">
        <w:rPr>
          <w:rFonts w:cs="Helvetica"/>
        </w:rPr>
        <w:t xml:space="preserve"> de</w:t>
      </w:r>
      <w:r w:rsidR="009C11D5" w:rsidRPr="008E33DF">
        <w:rPr>
          <w:rFonts w:cs="Helvetica"/>
        </w:rPr>
        <w:t xml:space="preserve"> verhuur van</w:t>
      </w:r>
      <w:r w:rsidR="0030701D" w:rsidRPr="008E33DF">
        <w:rPr>
          <w:rFonts w:cs="Helvetica"/>
        </w:rPr>
        <w:t xml:space="preserve"> woonruimte voor een korte duur</w:t>
      </w:r>
      <w:r w:rsidR="009C11D5" w:rsidRPr="008E33DF">
        <w:rPr>
          <w:rFonts w:cs="Helvetica"/>
        </w:rPr>
        <w:t>. Onze Advocaat heeft de nodige kennis</w:t>
      </w:r>
      <w:r w:rsidR="00246EA0" w:rsidRPr="008E33DF">
        <w:rPr>
          <w:rFonts w:cs="Helvetica"/>
        </w:rPr>
        <w:t xml:space="preserve"> over en expertise op</w:t>
      </w:r>
      <w:r w:rsidR="009C11D5" w:rsidRPr="008E33DF">
        <w:rPr>
          <w:rFonts w:cs="Helvetica"/>
        </w:rPr>
        <w:t xml:space="preserve"> het</w:t>
      </w:r>
      <w:r w:rsidR="00246EA0" w:rsidRPr="008E33DF">
        <w:rPr>
          <w:rFonts w:cs="Helvetica"/>
        </w:rPr>
        <w:t xml:space="preserve"> gebied van</w:t>
      </w:r>
      <w:r w:rsidR="009C11D5" w:rsidRPr="008E33DF">
        <w:rPr>
          <w:rFonts w:cs="Helvetica"/>
        </w:rPr>
        <w:t xml:space="preserve"> huurrecht</w:t>
      </w:r>
      <w:r w:rsidR="00246EA0" w:rsidRPr="008E33DF">
        <w:rPr>
          <w:rFonts w:cs="Helvetica"/>
        </w:rPr>
        <w:t>,</w:t>
      </w:r>
      <w:r w:rsidR="009C11D5" w:rsidRPr="008E33DF">
        <w:rPr>
          <w:rFonts w:cs="Helvetica"/>
        </w:rPr>
        <w:t xml:space="preserve"> om zijn klanten goed advies te geven. </w:t>
      </w:r>
      <w:r w:rsidR="00246EA0" w:rsidRPr="008E33DF">
        <w:rPr>
          <w:rFonts w:cs="Helvetica"/>
        </w:rPr>
        <w:t>O</w:t>
      </w:r>
      <w:r w:rsidR="009C11D5" w:rsidRPr="008E33DF">
        <w:rPr>
          <w:rFonts w:cs="Helvetica"/>
        </w:rPr>
        <w:t>ndanks de</w:t>
      </w:r>
      <w:r w:rsidR="00246EA0" w:rsidRPr="008E33DF">
        <w:rPr>
          <w:rFonts w:cs="Helvetica"/>
        </w:rPr>
        <w:t>ze specifieke</w:t>
      </w:r>
      <w:r w:rsidR="009C11D5" w:rsidRPr="008E33DF">
        <w:rPr>
          <w:rFonts w:cs="Helvetica"/>
        </w:rPr>
        <w:t xml:space="preserve"> kennis kampt het kantoor</w:t>
      </w:r>
      <w:r w:rsidR="00246EA0" w:rsidRPr="008E33DF">
        <w:rPr>
          <w:rFonts w:cs="Helvetica"/>
        </w:rPr>
        <w:t xml:space="preserve"> echter</w:t>
      </w:r>
      <w:r w:rsidR="009C11D5" w:rsidRPr="008E33DF">
        <w:rPr>
          <w:rFonts w:cs="Helvetica"/>
        </w:rPr>
        <w:t xml:space="preserve"> met een </w:t>
      </w:r>
      <w:r w:rsidR="00AA6200" w:rsidRPr="008E33DF">
        <w:rPr>
          <w:rFonts w:cs="Helvetica"/>
        </w:rPr>
        <w:t>"</w:t>
      </w:r>
      <w:r w:rsidR="009C11D5" w:rsidRPr="008E33DF">
        <w:rPr>
          <w:rFonts w:cs="Helvetica"/>
        </w:rPr>
        <w:t>probleem</w:t>
      </w:r>
      <w:r w:rsidR="00AA6200" w:rsidRPr="008E33DF">
        <w:rPr>
          <w:rFonts w:cs="Helvetica"/>
        </w:rPr>
        <w:t>"</w:t>
      </w:r>
      <w:r w:rsidR="009C11D5" w:rsidRPr="008E33DF">
        <w:rPr>
          <w:rFonts w:cs="Helvetica"/>
        </w:rPr>
        <w:t xml:space="preserve">. </w:t>
      </w:r>
    </w:p>
    <w:p w:rsidR="00D4304F" w:rsidRPr="008E33DF" w:rsidRDefault="00D4304F" w:rsidP="009C11D5">
      <w:pPr>
        <w:rPr>
          <w:rFonts w:cs="Helvetica"/>
        </w:rPr>
      </w:pPr>
    </w:p>
    <w:p w:rsidR="00785039" w:rsidRPr="008E33DF" w:rsidRDefault="009C11D5" w:rsidP="009C11D5">
      <w:pPr>
        <w:rPr>
          <w:rFonts w:cs="Helvetica"/>
        </w:rPr>
      </w:pPr>
      <w:r w:rsidRPr="008E33DF">
        <w:rPr>
          <w:rFonts w:cs="Helvetica"/>
        </w:rPr>
        <w:t xml:space="preserve">Veel klanten die hun woonruimte willen verhuren voor een korte termijn </w:t>
      </w:r>
      <w:r w:rsidR="0030701D" w:rsidRPr="008E33DF">
        <w:rPr>
          <w:rFonts w:cs="Helvetica"/>
        </w:rPr>
        <w:t>vrezen</w:t>
      </w:r>
      <w:r w:rsidRPr="008E33DF">
        <w:rPr>
          <w:rFonts w:cs="Helvetica"/>
        </w:rPr>
        <w:t xml:space="preserve"> vast te</w:t>
      </w:r>
      <w:r w:rsidR="00246EA0" w:rsidRPr="008E33DF">
        <w:rPr>
          <w:rFonts w:cs="Helvetica"/>
        </w:rPr>
        <w:t xml:space="preserve"> zullen</w:t>
      </w:r>
      <w:r w:rsidRPr="008E33DF">
        <w:rPr>
          <w:rFonts w:cs="Helvetica"/>
        </w:rPr>
        <w:t xml:space="preserve"> zitten a</w:t>
      </w:r>
      <w:r w:rsidR="0030701D" w:rsidRPr="008E33DF">
        <w:rPr>
          <w:rFonts w:cs="Helvetica"/>
        </w:rPr>
        <w:t>an de huurder als hij</w:t>
      </w:r>
      <w:r w:rsidRPr="008E33DF">
        <w:rPr>
          <w:rFonts w:cs="Helvetica"/>
        </w:rPr>
        <w:t xml:space="preserve"> de woning niet wil verlaten. De angst van</w:t>
      </w:r>
      <w:r w:rsidR="00246EA0" w:rsidRPr="008E33DF">
        <w:rPr>
          <w:rFonts w:cs="Helvetica"/>
        </w:rPr>
        <w:t xml:space="preserve"> de klanten is begrijpelijk</w:t>
      </w:r>
      <w:r w:rsidRPr="008E33DF">
        <w:rPr>
          <w:rFonts w:cs="Helvetica"/>
        </w:rPr>
        <w:t>, omdat huurders goed worden beschermd bij de wet.</w:t>
      </w:r>
      <w:r w:rsidR="00AA6200" w:rsidRPr="008E33DF">
        <w:rPr>
          <w:rFonts w:cs="Helvetica"/>
        </w:rPr>
        <w:t xml:space="preserve"> De hierboven</w:t>
      </w:r>
      <w:r w:rsidR="00246EA0" w:rsidRPr="008E33DF">
        <w:rPr>
          <w:rFonts w:cs="Helvetica"/>
        </w:rPr>
        <w:t xml:space="preserve"> genoemde uitspraak</w:t>
      </w:r>
      <w:r w:rsidR="00AA6200" w:rsidRPr="008E33DF">
        <w:rPr>
          <w:rFonts w:cs="Helvetica"/>
        </w:rPr>
        <w:t xml:space="preserve"> is hier een goed voorbeeld van.</w:t>
      </w:r>
      <w:r w:rsidRPr="008E33DF">
        <w:rPr>
          <w:rFonts w:cs="Helvetica"/>
        </w:rPr>
        <w:t xml:space="preserve"> De wet biedt </w:t>
      </w:r>
      <w:r w:rsidR="00AA6200" w:rsidRPr="008E33DF">
        <w:rPr>
          <w:rFonts w:cs="Helvetica"/>
        </w:rPr>
        <w:t>momenteel</w:t>
      </w:r>
      <w:r w:rsidRPr="008E33DF">
        <w:rPr>
          <w:rFonts w:cs="Helvetica"/>
        </w:rPr>
        <w:t xml:space="preserve"> zeer beperkte mogelijkheden tot verhuur van woonruimte voor korte duur. </w:t>
      </w:r>
    </w:p>
    <w:p w:rsidR="00426A70" w:rsidRPr="008E33DF" w:rsidRDefault="00426A70" w:rsidP="009C11D5">
      <w:pPr>
        <w:rPr>
          <w:rFonts w:cs="Helvetica"/>
        </w:rPr>
      </w:pPr>
    </w:p>
    <w:p w:rsidR="00785039" w:rsidRPr="008E33DF" w:rsidRDefault="00246EA0" w:rsidP="00785039">
      <w:pPr>
        <w:rPr>
          <w:rFonts w:cs="Helvetica"/>
        </w:rPr>
      </w:pPr>
      <w:r w:rsidRPr="008E33DF">
        <w:rPr>
          <w:rFonts w:cs="Helvetica"/>
        </w:rPr>
        <w:lastRenderedPageBreak/>
        <w:t>Het is O</w:t>
      </w:r>
      <w:r w:rsidR="00781DDD" w:rsidRPr="008E33DF">
        <w:rPr>
          <w:rFonts w:cs="Helvetica"/>
        </w:rPr>
        <w:t xml:space="preserve">nze </w:t>
      </w:r>
      <w:r w:rsidRPr="008E33DF">
        <w:rPr>
          <w:rFonts w:cs="Helvetica"/>
        </w:rPr>
        <w:t>A</w:t>
      </w:r>
      <w:r w:rsidR="00781DDD" w:rsidRPr="008E33DF">
        <w:rPr>
          <w:rFonts w:cs="Helvetica"/>
        </w:rPr>
        <w:t>dvoca</w:t>
      </w:r>
      <w:r w:rsidRPr="008E33DF">
        <w:rPr>
          <w:rFonts w:cs="Helvetica"/>
        </w:rPr>
        <w:t>a</w:t>
      </w:r>
      <w:r w:rsidR="00781DDD" w:rsidRPr="008E33DF">
        <w:rPr>
          <w:rFonts w:cs="Helvetica"/>
        </w:rPr>
        <w:t xml:space="preserve">t niet </w:t>
      </w:r>
      <w:r w:rsidR="00055CEB" w:rsidRPr="008E33DF">
        <w:rPr>
          <w:rFonts w:cs="Helvetica"/>
        </w:rPr>
        <w:t>ge</w:t>
      </w:r>
      <w:r w:rsidR="00781DDD" w:rsidRPr="008E33DF">
        <w:rPr>
          <w:rFonts w:cs="Helvetica"/>
        </w:rPr>
        <w:t xml:space="preserve">heel duidelijk welke mogelijkheden een verhuurder </w:t>
      </w:r>
      <w:r w:rsidRPr="008E33DF">
        <w:rPr>
          <w:rFonts w:cs="Helvetica"/>
        </w:rPr>
        <w:t>heeft</w:t>
      </w:r>
      <w:r w:rsidR="00781DDD" w:rsidRPr="008E33DF">
        <w:rPr>
          <w:rFonts w:cs="Helvetica"/>
        </w:rPr>
        <w:t>, om zijn woonruimte voor een korte duur te verhuren.</w:t>
      </w:r>
      <w:r w:rsidR="00785039" w:rsidRPr="008E33DF">
        <w:rPr>
          <w:rFonts w:cs="Helvetica"/>
        </w:rPr>
        <w:t xml:space="preserve"> Immers, e</w:t>
      </w:r>
      <w:r w:rsidR="009C11D5" w:rsidRPr="008E33DF">
        <w:rPr>
          <w:rFonts w:cs="Helvetica"/>
        </w:rPr>
        <w:t xml:space="preserve">en huurovereenkomst van woonruimte, ongeacht </w:t>
      </w:r>
      <w:r w:rsidRPr="008E33DF">
        <w:rPr>
          <w:rFonts w:cs="Helvetica"/>
        </w:rPr>
        <w:t xml:space="preserve">of die is </w:t>
      </w:r>
      <w:r w:rsidR="009C11D5" w:rsidRPr="008E33DF">
        <w:rPr>
          <w:rFonts w:cs="Helvetica"/>
        </w:rPr>
        <w:t xml:space="preserve">aangegaan voor bepaalde of </w:t>
      </w:r>
      <w:r w:rsidRPr="008E33DF">
        <w:rPr>
          <w:rFonts w:cs="Helvetica"/>
        </w:rPr>
        <w:t xml:space="preserve">voor </w:t>
      </w:r>
      <w:r w:rsidR="009C11D5" w:rsidRPr="008E33DF">
        <w:rPr>
          <w:rFonts w:cs="Helvetica"/>
        </w:rPr>
        <w:t xml:space="preserve">onbepaalde tijd, is op een aantal uitzonderingen na slechts </w:t>
      </w:r>
      <w:r w:rsidRPr="008E33DF">
        <w:rPr>
          <w:rFonts w:cs="Helvetica"/>
        </w:rPr>
        <w:t>op te zeggen op grond van de</w:t>
      </w:r>
      <w:r w:rsidR="009C11D5" w:rsidRPr="008E33DF">
        <w:rPr>
          <w:rFonts w:cs="Helvetica"/>
        </w:rPr>
        <w:t xml:space="preserve"> opzeggingsgronden </w:t>
      </w:r>
      <w:r w:rsidR="00055CEB" w:rsidRPr="008E33DF">
        <w:rPr>
          <w:rFonts w:cs="Helvetica"/>
        </w:rPr>
        <w:t xml:space="preserve">zoals </w:t>
      </w:r>
      <w:r w:rsidR="009C11D5" w:rsidRPr="008E33DF">
        <w:rPr>
          <w:rFonts w:cs="Helvetica"/>
        </w:rPr>
        <w:t xml:space="preserve">opgenomen in </w:t>
      </w:r>
      <w:r w:rsidR="00AA6200" w:rsidRPr="008E33DF">
        <w:rPr>
          <w:rFonts w:cs="Helvetica"/>
        </w:rPr>
        <w:t>art. 7:274 lid 1</w:t>
      </w:r>
      <w:r w:rsidR="009C11D5" w:rsidRPr="008E33DF">
        <w:rPr>
          <w:rFonts w:cs="Helvetica"/>
        </w:rPr>
        <w:t xml:space="preserve"> BW</w:t>
      </w:r>
      <w:r w:rsidR="00AA6200" w:rsidRPr="008E33DF">
        <w:rPr>
          <w:rStyle w:val="Voetnootmarkering"/>
          <w:rFonts w:cs="Helvetica"/>
        </w:rPr>
        <w:footnoteReference w:id="3"/>
      </w:r>
      <w:r w:rsidR="009C11D5" w:rsidRPr="008E33DF">
        <w:rPr>
          <w:rFonts w:cs="Helvetica"/>
        </w:rPr>
        <w:t xml:space="preserve">. </w:t>
      </w:r>
    </w:p>
    <w:p w:rsidR="00246EA0" w:rsidRPr="008E33DF" w:rsidRDefault="00246EA0" w:rsidP="00785039">
      <w:pPr>
        <w:rPr>
          <w:rFonts w:cs="Helvetica"/>
        </w:rPr>
      </w:pPr>
    </w:p>
    <w:p w:rsidR="00785039" w:rsidRPr="008E33DF" w:rsidRDefault="00785039" w:rsidP="00344B0B">
      <w:pPr>
        <w:pStyle w:val="Kop2"/>
      </w:pPr>
      <w:bookmarkStart w:id="5" w:name="_Toc454253634"/>
      <w:r w:rsidRPr="008E33DF">
        <w:t>1.2 Afbakening</w:t>
      </w:r>
      <w:bookmarkEnd w:id="5"/>
    </w:p>
    <w:p w:rsidR="00246EA0" w:rsidRPr="008E33DF" w:rsidRDefault="00246EA0" w:rsidP="00246EA0">
      <w:pPr>
        <w:rPr>
          <w:rFonts w:cs="Helvetica"/>
        </w:rPr>
      </w:pPr>
      <w:r w:rsidRPr="008E33DF">
        <w:rPr>
          <w:rFonts w:cs="Helvetica"/>
        </w:rPr>
        <w:t>Er is heel veel jurisprudentie over zowel de huurovereenkomsten die zijn uitgezonderd als over de opzeggingsgronden zelf. Dit onderzoek beperkt zicht echter tot hetgeen dat in de volgende paragraaf wordt uiteengezet. Onze Advocaat heeft geen goed overzicht over wanneer een opzeggingsgrond al dan niet wordt toegewezen. Of wanneer slaagt een beroep op een van de uitzonderingen waarmee de huurbescherming "omzeild" kan worden?</w:t>
      </w:r>
    </w:p>
    <w:p w:rsidR="00246EA0" w:rsidRPr="008E33DF" w:rsidRDefault="00246EA0" w:rsidP="00246EA0"/>
    <w:p w:rsidR="00785039" w:rsidRPr="008E33DF" w:rsidRDefault="00246EA0" w:rsidP="00785039">
      <w:pPr>
        <w:rPr>
          <w:rFonts w:cs="Helvetica"/>
        </w:rPr>
      </w:pPr>
      <w:r w:rsidRPr="008E33DF">
        <w:rPr>
          <w:rFonts w:cs="Helvetica"/>
        </w:rPr>
        <w:t xml:space="preserve">Echter, om onderzoek te doen naar </w:t>
      </w:r>
      <w:r w:rsidR="00785039" w:rsidRPr="008E33DF">
        <w:rPr>
          <w:rFonts w:cs="Helvetica"/>
        </w:rPr>
        <w:t xml:space="preserve">elke opzeggingsrond en uitzondering </w:t>
      </w:r>
      <w:r w:rsidRPr="008E33DF">
        <w:rPr>
          <w:rFonts w:cs="Helvetica"/>
        </w:rPr>
        <w:t>is er meer tijd nodig dan beschikbaar is</w:t>
      </w:r>
      <w:r w:rsidR="00785039" w:rsidRPr="008E33DF">
        <w:rPr>
          <w:rFonts w:cs="Helvetica"/>
        </w:rPr>
        <w:t xml:space="preserve">. </w:t>
      </w:r>
      <w:r w:rsidRPr="008E33DF">
        <w:rPr>
          <w:rFonts w:cs="Helvetica"/>
        </w:rPr>
        <w:t xml:space="preserve">Daarom wordt </w:t>
      </w:r>
      <w:r w:rsidR="00785039" w:rsidRPr="008E33DF">
        <w:rPr>
          <w:rFonts w:cs="Helvetica"/>
        </w:rPr>
        <w:t>in dit onderzoek beperk</w:t>
      </w:r>
      <w:r w:rsidR="00D0510A" w:rsidRPr="008E33DF">
        <w:rPr>
          <w:rFonts w:cs="Helvetica"/>
        </w:rPr>
        <w:t>t</w:t>
      </w:r>
      <w:r w:rsidR="00785039" w:rsidRPr="008E33DF">
        <w:rPr>
          <w:rFonts w:cs="Helvetica"/>
        </w:rPr>
        <w:t xml:space="preserve"> tot de uitzon</w:t>
      </w:r>
      <w:r w:rsidR="00484359" w:rsidRPr="008E33DF">
        <w:rPr>
          <w:rFonts w:cs="Helvetica"/>
        </w:rPr>
        <w:t>dering van art.</w:t>
      </w:r>
      <w:r w:rsidR="00785039" w:rsidRPr="008E33DF">
        <w:rPr>
          <w:rFonts w:cs="Helvetica"/>
        </w:rPr>
        <w:t xml:space="preserve"> 7:232 lid 2 BW:</w:t>
      </w:r>
      <w:r w:rsidR="00D4304F" w:rsidRPr="008E33DF">
        <w:rPr>
          <w:rFonts w:cs="Helvetica"/>
        </w:rPr>
        <w:t xml:space="preserve"> </w:t>
      </w:r>
      <w:r w:rsidR="00426A70" w:rsidRPr="008E33DF">
        <w:rPr>
          <w:rFonts w:cs="Helvetica"/>
        </w:rPr>
        <w:t>h</w:t>
      </w:r>
      <w:r w:rsidR="00785039" w:rsidRPr="008E33DF">
        <w:rPr>
          <w:rFonts w:cs="Helvetica"/>
        </w:rPr>
        <w:t>uurovereenkomst naar zijn aard van korte duur.</w:t>
      </w:r>
    </w:p>
    <w:p w:rsidR="00426A70" w:rsidRPr="008E33DF" w:rsidRDefault="00426A70" w:rsidP="00785039">
      <w:pPr>
        <w:rPr>
          <w:rFonts w:cs="Helvetica"/>
        </w:rPr>
      </w:pPr>
    </w:p>
    <w:p w:rsidR="00785039" w:rsidRPr="008E33DF" w:rsidRDefault="00785039" w:rsidP="00785039">
      <w:pPr>
        <w:rPr>
          <w:rFonts w:cs="Helvetica"/>
        </w:rPr>
      </w:pPr>
      <w:r w:rsidRPr="008E33DF">
        <w:rPr>
          <w:rFonts w:cs="Helvetica"/>
        </w:rPr>
        <w:t xml:space="preserve">Onze Advocaat </w:t>
      </w:r>
      <w:r w:rsidR="00D0510A" w:rsidRPr="008E33DF">
        <w:rPr>
          <w:rFonts w:cs="Helvetica"/>
        </w:rPr>
        <w:t>wil onderzocht hebben</w:t>
      </w:r>
      <w:r w:rsidRPr="008E33DF">
        <w:rPr>
          <w:rFonts w:cs="Helvetica"/>
        </w:rPr>
        <w:t xml:space="preserve"> welke mogelijkheden er bestaan voor een verhuurder om zijn woonruimte te verhuren voor een korte periode. De </w:t>
      </w:r>
      <w:r w:rsidR="00055CEB" w:rsidRPr="008E33DF">
        <w:rPr>
          <w:rFonts w:cs="Helvetica"/>
        </w:rPr>
        <w:t>huur</w:t>
      </w:r>
      <w:r w:rsidRPr="008E33DF">
        <w:rPr>
          <w:rFonts w:cs="Helvetica"/>
        </w:rPr>
        <w:t>bescherming beperkt de mogelijkheid om een woonruimte voor een korte periode te verhuren. Art. 7:232 lid 2 BW sluit afd</w:t>
      </w:r>
      <w:r w:rsidR="00055CEB" w:rsidRPr="008E33DF">
        <w:rPr>
          <w:rFonts w:cs="Helvetica"/>
        </w:rPr>
        <w:t>eling 5</w:t>
      </w:r>
      <w:r w:rsidR="00D0510A" w:rsidRPr="008E33DF">
        <w:rPr>
          <w:rFonts w:cs="Helvetica"/>
        </w:rPr>
        <w:t xml:space="preserve"> uit,</w:t>
      </w:r>
      <w:r w:rsidR="00055CEB" w:rsidRPr="008E33DF">
        <w:rPr>
          <w:rFonts w:cs="Helvetica"/>
        </w:rPr>
        <w:t xml:space="preserve"> en daarmee ook de huur</w:t>
      </w:r>
      <w:r w:rsidRPr="008E33DF">
        <w:rPr>
          <w:rFonts w:cs="Helvetica"/>
        </w:rPr>
        <w:t xml:space="preserve">bescherming. Dit is de reden </w:t>
      </w:r>
      <w:r w:rsidR="00D0510A" w:rsidRPr="008E33DF">
        <w:rPr>
          <w:rFonts w:cs="Helvetica"/>
        </w:rPr>
        <w:t xml:space="preserve">van de keuze </w:t>
      </w:r>
      <w:r w:rsidRPr="008E33DF">
        <w:rPr>
          <w:rFonts w:cs="Helvetica"/>
        </w:rPr>
        <w:t xml:space="preserve">voor dit artikel. Bij een huurovereenkomst </w:t>
      </w:r>
      <w:r w:rsidR="00426A70" w:rsidRPr="008E33DF">
        <w:rPr>
          <w:rFonts w:cs="Helvetica"/>
        </w:rPr>
        <w:t xml:space="preserve">die </w:t>
      </w:r>
      <w:r w:rsidRPr="008E33DF">
        <w:rPr>
          <w:rFonts w:cs="Helvetica"/>
        </w:rPr>
        <w:t>naar z</w:t>
      </w:r>
      <w:r w:rsidR="00055CEB" w:rsidRPr="008E33DF">
        <w:rPr>
          <w:rFonts w:cs="Helvetica"/>
        </w:rPr>
        <w:t>ijn aard van korte duur</w:t>
      </w:r>
      <w:r w:rsidR="00426A70" w:rsidRPr="008E33DF">
        <w:rPr>
          <w:rFonts w:cs="Helvetica"/>
        </w:rPr>
        <w:t xml:space="preserve"> is</w:t>
      </w:r>
      <w:r w:rsidR="00D0510A" w:rsidRPr="008E33DF">
        <w:rPr>
          <w:rFonts w:cs="Helvetica"/>
        </w:rPr>
        <w:t>,</w:t>
      </w:r>
      <w:r w:rsidR="00055CEB" w:rsidRPr="008E33DF">
        <w:rPr>
          <w:rFonts w:cs="Helvetica"/>
        </w:rPr>
        <w:t xml:space="preserve"> wordt vooral gedacht aan vakantie</w:t>
      </w:r>
      <w:r w:rsidR="00D0510A" w:rsidRPr="008E33DF">
        <w:rPr>
          <w:rFonts w:cs="Helvetica"/>
        </w:rPr>
        <w:t>-</w:t>
      </w:r>
      <w:r w:rsidRPr="008E33DF">
        <w:rPr>
          <w:rFonts w:cs="Helvetica"/>
        </w:rPr>
        <w:t xml:space="preserve"> en wisselwoningen. </w:t>
      </w:r>
      <w:r w:rsidR="00D0510A" w:rsidRPr="008E33DF">
        <w:rPr>
          <w:rFonts w:cs="Helvetica"/>
        </w:rPr>
        <w:t>Dit moet echter blijken uit dit onderzoek.</w:t>
      </w:r>
    </w:p>
    <w:p w:rsidR="00830632" w:rsidRPr="008E33DF" w:rsidRDefault="00830632">
      <w:pPr>
        <w:rPr>
          <w:rFonts w:cs="Helvetica"/>
          <w:b/>
          <w:color w:val="548DD4" w:themeColor="text2" w:themeTint="99"/>
        </w:rPr>
      </w:pPr>
    </w:p>
    <w:p w:rsidR="00AA6200" w:rsidRPr="008E33DF" w:rsidRDefault="00785039" w:rsidP="00344B0B">
      <w:pPr>
        <w:pStyle w:val="Kop2"/>
      </w:pPr>
      <w:bookmarkStart w:id="6" w:name="_Toc454253635"/>
      <w:r w:rsidRPr="008E33DF">
        <w:t>1.3</w:t>
      </w:r>
      <w:r w:rsidR="009B1867" w:rsidRPr="008E33DF">
        <w:t xml:space="preserve"> Doelstelling, centrale vraag en d</w:t>
      </w:r>
      <w:r w:rsidR="00AA6200" w:rsidRPr="008E33DF">
        <w:t>eelvragen</w:t>
      </w:r>
      <w:bookmarkEnd w:id="6"/>
    </w:p>
    <w:p w:rsidR="00426A70" w:rsidRPr="008E33DF" w:rsidRDefault="00426A70" w:rsidP="00344B0B">
      <w:pPr>
        <w:pStyle w:val="Kop3"/>
      </w:pPr>
    </w:p>
    <w:p w:rsidR="00AA6200" w:rsidRPr="008E33DF" w:rsidRDefault="00785039" w:rsidP="00344B0B">
      <w:pPr>
        <w:pStyle w:val="Kop3"/>
      </w:pPr>
      <w:bookmarkStart w:id="7" w:name="_Toc454253636"/>
      <w:r w:rsidRPr="008E33DF">
        <w:t>1.3</w:t>
      </w:r>
      <w:r w:rsidR="00AA6200" w:rsidRPr="008E33DF">
        <w:t>.1 Doelstelling</w:t>
      </w:r>
      <w:bookmarkEnd w:id="7"/>
    </w:p>
    <w:p w:rsidR="00830632" w:rsidRPr="008E33DF" w:rsidRDefault="00830632" w:rsidP="00830632">
      <w:pPr>
        <w:rPr>
          <w:rFonts w:cs="Helvetica"/>
        </w:rPr>
      </w:pPr>
      <w:r w:rsidRPr="008E33DF">
        <w:rPr>
          <w:rFonts w:cs="Helvetica"/>
        </w:rPr>
        <w:t>Het doel van dit onderzoek is om de opdrachtgever inzicht te geven in de toetsing van de rechter bij het aannemen dan we</w:t>
      </w:r>
      <w:r w:rsidR="00655A1F" w:rsidRPr="008E33DF">
        <w:rPr>
          <w:rFonts w:cs="Helvetica"/>
        </w:rPr>
        <w:t>l verwerpen van de uitzondering</w:t>
      </w:r>
      <w:r w:rsidR="00426A70" w:rsidRPr="008E33DF">
        <w:rPr>
          <w:rFonts w:cs="Helvetica"/>
        </w:rPr>
        <w:t>sbepaling</w:t>
      </w:r>
      <w:r w:rsidR="00655A1F" w:rsidRPr="008E33DF">
        <w:rPr>
          <w:rFonts w:cs="Helvetica"/>
        </w:rPr>
        <w:t xml:space="preserve"> zoals</w:t>
      </w:r>
      <w:r w:rsidRPr="008E33DF">
        <w:rPr>
          <w:rFonts w:cs="Helvetica"/>
        </w:rPr>
        <w:t xml:space="preserve"> genoemd in art.</w:t>
      </w:r>
      <w:r w:rsidR="00655A1F" w:rsidRPr="008E33DF">
        <w:rPr>
          <w:rFonts w:cs="Helvetica"/>
        </w:rPr>
        <w:t xml:space="preserve"> 7:732 lid 2 BW. Dit wordt gedaan door middel van een inventarisatie van de factoren waar</w:t>
      </w:r>
      <w:r w:rsidRPr="008E33DF">
        <w:rPr>
          <w:rFonts w:cs="Helvetica"/>
        </w:rPr>
        <w:t xml:space="preserve"> de rechter </w:t>
      </w:r>
      <w:r w:rsidR="00655A1F" w:rsidRPr="008E33DF">
        <w:rPr>
          <w:rFonts w:cs="Helvetica"/>
        </w:rPr>
        <w:t>op toetst en de</w:t>
      </w:r>
      <w:r w:rsidR="00D4304F" w:rsidRPr="008E33DF">
        <w:rPr>
          <w:rFonts w:cs="Helvetica"/>
        </w:rPr>
        <w:t xml:space="preserve"> </w:t>
      </w:r>
      <w:r w:rsidR="00655A1F" w:rsidRPr="008E33DF">
        <w:rPr>
          <w:rFonts w:cs="Helvetica"/>
        </w:rPr>
        <w:t>feiten en omstandigheden die daarbij</w:t>
      </w:r>
      <w:r w:rsidRPr="008E33DF">
        <w:rPr>
          <w:rFonts w:cs="Helvetica"/>
        </w:rPr>
        <w:t xml:space="preserve"> doorslaggevend zijn.</w:t>
      </w:r>
      <w:r w:rsidR="00D0510A" w:rsidRPr="008E33DF">
        <w:rPr>
          <w:rFonts w:cs="Helvetica"/>
        </w:rPr>
        <w:t xml:space="preserve"> Op basis van de </w:t>
      </w:r>
      <w:r w:rsidRPr="008E33DF">
        <w:rPr>
          <w:rFonts w:cs="Helvetica"/>
        </w:rPr>
        <w:t xml:space="preserve">uitkomst van dit onderzoek </w:t>
      </w:r>
      <w:r w:rsidR="00D0510A" w:rsidRPr="008E33DF">
        <w:rPr>
          <w:rFonts w:cs="Helvetica"/>
        </w:rPr>
        <w:t>wordt</w:t>
      </w:r>
      <w:r w:rsidRPr="008E33DF">
        <w:rPr>
          <w:rFonts w:cs="Helvetica"/>
        </w:rPr>
        <w:t xml:space="preserve"> een handleiding</w:t>
      </w:r>
      <w:r w:rsidR="00D0510A" w:rsidRPr="008E33DF">
        <w:rPr>
          <w:rFonts w:cs="Helvetica"/>
        </w:rPr>
        <w:t xml:space="preserve"> gemaakt. </w:t>
      </w:r>
      <w:r w:rsidRPr="008E33DF">
        <w:rPr>
          <w:rFonts w:cs="Helvetica"/>
        </w:rPr>
        <w:t>Onze Advocaat kantoor kan</w:t>
      </w:r>
      <w:r w:rsidR="00D0510A" w:rsidRPr="008E33DF">
        <w:rPr>
          <w:rFonts w:cs="Helvetica"/>
        </w:rPr>
        <w:t xml:space="preserve"> deze handleiding</w:t>
      </w:r>
      <w:r w:rsidRPr="008E33DF">
        <w:rPr>
          <w:rFonts w:cs="Helvetica"/>
        </w:rPr>
        <w:t xml:space="preserve"> raadplegen bij het adviseren van </w:t>
      </w:r>
      <w:r w:rsidR="00D0510A" w:rsidRPr="008E33DF">
        <w:rPr>
          <w:rFonts w:cs="Helvetica"/>
        </w:rPr>
        <w:t>zijn</w:t>
      </w:r>
      <w:r w:rsidRPr="008E33DF">
        <w:rPr>
          <w:rFonts w:cs="Helvetica"/>
        </w:rPr>
        <w:t xml:space="preserve"> cliënten als het gaat om een </w:t>
      </w:r>
      <w:r w:rsidR="00484359" w:rsidRPr="008E33DF">
        <w:rPr>
          <w:rFonts w:cs="Helvetica"/>
        </w:rPr>
        <w:t>huurovereenkomst</w:t>
      </w:r>
      <w:r w:rsidR="00D4304F" w:rsidRPr="008E33DF">
        <w:rPr>
          <w:rFonts w:cs="Helvetica"/>
        </w:rPr>
        <w:t xml:space="preserve"> </w:t>
      </w:r>
      <w:r w:rsidR="00484359" w:rsidRPr="008E33DF">
        <w:rPr>
          <w:rFonts w:cs="Helvetica"/>
        </w:rPr>
        <w:t>die</w:t>
      </w:r>
      <w:r w:rsidRPr="008E33DF">
        <w:rPr>
          <w:rFonts w:cs="Helvetica"/>
        </w:rPr>
        <w:t xml:space="preserve"> naar zijn aard van korte duur is.</w:t>
      </w:r>
    </w:p>
    <w:p w:rsidR="00426A70" w:rsidRPr="008E33DF" w:rsidRDefault="00426A70" w:rsidP="00830632">
      <w:pPr>
        <w:rPr>
          <w:rFonts w:cs="Helvetica"/>
        </w:rPr>
      </w:pPr>
    </w:p>
    <w:p w:rsidR="00426A70" w:rsidRPr="008E33DF" w:rsidRDefault="00426A70" w:rsidP="00830632">
      <w:pPr>
        <w:rPr>
          <w:rFonts w:cs="Helvetica"/>
        </w:rPr>
      </w:pPr>
    </w:p>
    <w:p w:rsidR="00426A70" w:rsidRPr="008E33DF" w:rsidRDefault="00426A70" w:rsidP="00830632">
      <w:pPr>
        <w:rPr>
          <w:rFonts w:cs="Helvetica"/>
        </w:rPr>
      </w:pPr>
    </w:p>
    <w:p w:rsidR="00484359" w:rsidRPr="008E33DF" w:rsidRDefault="00484359">
      <w:pPr>
        <w:rPr>
          <w:rFonts w:cs="Helvetica"/>
          <w:b/>
          <w:color w:val="8DB3E2" w:themeColor="text2" w:themeTint="66"/>
        </w:rPr>
      </w:pPr>
    </w:p>
    <w:p w:rsidR="00AA6200" w:rsidRPr="008E33DF" w:rsidRDefault="00830632" w:rsidP="00484359">
      <w:pPr>
        <w:pStyle w:val="Kop3"/>
      </w:pPr>
      <w:bookmarkStart w:id="8" w:name="_Toc454253637"/>
      <w:r w:rsidRPr="008E33DF">
        <w:lastRenderedPageBreak/>
        <w:t>1.3.2 Centrale vraag</w:t>
      </w:r>
      <w:bookmarkEnd w:id="8"/>
    </w:p>
    <w:p w:rsidR="00830632" w:rsidRPr="008E33DF" w:rsidRDefault="00830632" w:rsidP="00830632">
      <w:pPr>
        <w:rPr>
          <w:rFonts w:cs="Helvetica"/>
          <w:b/>
        </w:rPr>
      </w:pPr>
      <w:r w:rsidRPr="008E33DF">
        <w:rPr>
          <w:rFonts w:cs="Helvetica"/>
          <w:b/>
        </w:rPr>
        <w:t xml:space="preserve">Welke </w:t>
      </w:r>
      <w:r w:rsidR="00406A01" w:rsidRPr="008E33DF">
        <w:rPr>
          <w:rFonts w:cs="Helvetica"/>
          <w:b/>
        </w:rPr>
        <w:t>feiten en omstandigheden</w:t>
      </w:r>
      <w:r w:rsidRPr="008E33DF">
        <w:rPr>
          <w:rFonts w:cs="Helvetica"/>
          <w:b/>
        </w:rPr>
        <w:t xml:space="preserve"> zijn doorslaggevend voor de rechter, volgen</w:t>
      </w:r>
      <w:r w:rsidR="00ED3E62" w:rsidRPr="008E33DF">
        <w:rPr>
          <w:rFonts w:cs="Helvetica"/>
          <w:b/>
        </w:rPr>
        <w:t>s jurisprudentie, bij het toets</w:t>
      </w:r>
      <w:r w:rsidRPr="008E33DF">
        <w:rPr>
          <w:rFonts w:cs="Helvetica"/>
          <w:b/>
        </w:rPr>
        <w:t xml:space="preserve">en </w:t>
      </w:r>
      <w:r w:rsidR="00F67E2F" w:rsidRPr="008E33DF">
        <w:rPr>
          <w:rFonts w:cs="Helvetica"/>
          <w:b/>
        </w:rPr>
        <w:t>op relevante</w:t>
      </w:r>
      <w:r w:rsidR="00D4304F" w:rsidRPr="008E33DF">
        <w:rPr>
          <w:rFonts w:cs="Helvetica"/>
          <w:b/>
        </w:rPr>
        <w:t xml:space="preserve"> </w:t>
      </w:r>
      <w:r w:rsidR="00F67E2F" w:rsidRPr="008E33DF">
        <w:rPr>
          <w:rFonts w:cs="Helvetica"/>
          <w:b/>
        </w:rPr>
        <w:t>factoren</w:t>
      </w:r>
      <w:r w:rsidRPr="008E33DF">
        <w:rPr>
          <w:rFonts w:cs="Helvetica"/>
          <w:b/>
        </w:rPr>
        <w:t xml:space="preserve"> om een beroep op art. 7:232 lid 2 BW toe of af te wijzen, waar Onze Advocaat rekening mee moet houden bij het adviseren van hun cliënten?</w:t>
      </w:r>
    </w:p>
    <w:p w:rsidR="00830632" w:rsidRPr="008E33DF" w:rsidRDefault="00830632" w:rsidP="00830632">
      <w:pPr>
        <w:rPr>
          <w:rFonts w:cs="Helvetica"/>
          <w:b/>
          <w:color w:val="8DB3E2" w:themeColor="text2" w:themeTint="66"/>
        </w:rPr>
      </w:pPr>
    </w:p>
    <w:p w:rsidR="00830632" w:rsidRPr="008E33DF" w:rsidRDefault="00830632" w:rsidP="00533607">
      <w:pPr>
        <w:pStyle w:val="Kop3"/>
      </w:pPr>
      <w:bookmarkStart w:id="9" w:name="_Toc454253638"/>
      <w:r w:rsidRPr="008E33DF">
        <w:t>1.3.3 Deelvragen</w:t>
      </w:r>
      <w:bookmarkEnd w:id="9"/>
    </w:p>
    <w:p w:rsidR="00830632" w:rsidRPr="008E33DF" w:rsidRDefault="00830632" w:rsidP="00830632">
      <w:pPr>
        <w:rPr>
          <w:rFonts w:cs="Helvetica"/>
          <w:b/>
        </w:rPr>
      </w:pPr>
      <w:r w:rsidRPr="008E33DF">
        <w:rPr>
          <w:rFonts w:cs="Helvetica"/>
          <w:b/>
        </w:rPr>
        <w:t>Deelvraag 1</w:t>
      </w:r>
    </w:p>
    <w:p w:rsidR="00830632" w:rsidRPr="008E33DF" w:rsidRDefault="00830632" w:rsidP="00830632">
      <w:pPr>
        <w:rPr>
          <w:rFonts w:cs="Helvetica"/>
        </w:rPr>
      </w:pPr>
      <w:r w:rsidRPr="008E33DF">
        <w:rPr>
          <w:rFonts w:cs="Helvetica"/>
        </w:rPr>
        <w:t xml:space="preserve">Welke wettelijke bepalingen gelden voor de </w:t>
      </w:r>
      <w:r w:rsidR="00ED3E62" w:rsidRPr="008E33DF">
        <w:rPr>
          <w:rFonts w:cs="Helvetica"/>
        </w:rPr>
        <w:t>huur</w:t>
      </w:r>
      <w:r w:rsidRPr="008E33DF">
        <w:rPr>
          <w:rFonts w:cs="Helvetica"/>
        </w:rPr>
        <w:t xml:space="preserve"> van woonruimte volgens</w:t>
      </w:r>
      <w:r w:rsidR="00D0510A" w:rsidRPr="008E33DF">
        <w:rPr>
          <w:rFonts w:cs="Helvetica"/>
        </w:rPr>
        <w:t xml:space="preserve"> de</w:t>
      </w:r>
      <w:r w:rsidRPr="008E33DF">
        <w:rPr>
          <w:rFonts w:cs="Helvetica"/>
        </w:rPr>
        <w:t xml:space="preserve"> wet- en regelgeving?</w:t>
      </w:r>
    </w:p>
    <w:p w:rsidR="00830632" w:rsidRPr="008E33DF" w:rsidRDefault="00830632" w:rsidP="00830632">
      <w:pPr>
        <w:rPr>
          <w:rFonts w:cs="Helvetica"/>
          <w:b/>
        </w:rPr>
      </w:pPr>
      <w:r w:rsidRPr="008E33DF">
        <w:rPr>
          <w:rFonts w:cs="Helvetica"/>
          <w:b/>
        </w:rPr>
        <w:t>Deelvraag 2</w:t>
      </w:r>
    </w:p>
    <w:p w:rsidR="00830632" w:rsidRPr="008E33DF" w:rsidRDefault="00D0510A" w:rsidP="00830632">
      <w:pPr>
        <w:rPr>
          <w:rFonts w:cs="Helvetica"/>
        </w:rPr>
      </w:pPr>
      <w:r w:rsidRPr="008E33DF">
        <w:rPr>
          <w:rFonts w:cs="Helvetica"/>
        </w:rPr>
        <w:t>Wat zeggen</w:t>
      </w:r>
      <w:r w:rsidR="00830632" w:rsidRPr="008E33DF">
        <w:rPr>
          <w:rFonts w:cs="Helvetica"/>
        </w:rPr>
        <w:t xml:space="preserve"> de wet- en regelgeving en de parlementaire geschiedenis over </w:t>
      </w:r>
      <w:r w:rsidR="00ED3E62" w:rsidRPr="008E33DF">
        <w:rPr>
          <w:rFonts w:cs="Helvetica"/>
        </w:rPr>
        <w:t>huur</w:t>
      </w:r>
      <w:r w:rsidR="00830632" w:rsidRPr="008E33DF">
        <w:rPr>
          <w:rFonts w:cs="Helvetica"/>
        </w:rPr>
        <w:t xml:space="preserve"> van woonruimte</w:t>
      </w:r>
      <w:r w:rsidR="00ED3E62" w:rsidRPr="008E33DF">
        <w:rPr>
          <w:rFonts w:cs="Helvetica"/>
        </w:rPr>
        <w:t xml:space="preserve"> die</w:t>
      </w:r>
      <w:r w:rsidR="00830632" w:rsidRPr="008E33DF">
        <w:rPr>
          <w:rFonts w:cs="Helvetica"/>
        </w:rPr>
        <w:t xml:space="preserve"> naar zijn aard van korte duur</w:t>
      </w:r>
      <w:r w:rsidR="00ED3E62" w:rsidRPr="008E33DF">
        <w:rPr>
          <w:rFonts w:cs="Helvetica"/>
        </w:rPr>
        <w:t xml:space="preserve"> is</w:t>
      </w:r>
      <w:r w:rsidR="00830632" w:rsidRPr="008E33DF">
        <w:rPr>
          <w:rFonts w:cs="Helvetica"/>
        </w:rPr>
        <w:t>?</w:t>
      </w:r>
    </w:p>
    <w:p w:rsidR="00830632" w:rsidRPr="008E33DF" w:rsidRDefault="00ED2147" w:rsidP="00830632">
      <w:pPr>
        <w:rPr>
          <w:rFonts w:cs="Helvetica"/>
          <w:b/>
        </w:rPr>
      </w:pPr>
      <w:r w:rsidRPr="008E33DF">
        <w:rPr>
          <w:rFonts w:cs="Helvetica"/>
          <w:b/>
        </w:rPr>
        <w:t>Deelvraag 3</w:t>
      </w:r>
    </w:p>
    <w:p w:rsidR="00830632" w:rsidRPr="008E33DF" w:rsidRDefault="00D0510A" w:rsidP="00830632">
      <w:pPr>
        <w:rPr>
          <w:rFonts w:cs="Helvetica"/>
        </w:rPr>
      </w:pPr>
      <w:r w:rsidRPr="008E33DF">
        <w:rPr>
          <w:rFonts w:cs="Helvetica"/>
        </w:rPr>
        <w:t>Op w</w:t>
      </w:r>
      <w:r w:rsidR="00306DD0" w:rsidRPr="008E33DF">
        <w:rPr>
          <w:rFonts w:cs="Helvetica"/>
        </w:rPr>
        <w:t xml:space="preserve">elke factoren </w:t>
      </w:r>
      <w:r w:rsidRPr="008E33DF">
        <w:rPr>
          <w:rFonts w:cs="Helvetica"/>
        </w:rPr>
        <w:t>wordt</w:t>
      </w:r>
      <w:r w:rsidR="00830632" w:rsidRPr="008E33DF">
        <w:rPr>
          <w:rFonts w:cs="Helvetica"/>
        </w:rPr>
        <w:t xml:space="preserve"> getoetst door de rechter bij het toe- of afwijzen van een beroep op art. 7:232 lid 2 BW?</w:t>
      </w:r>
    </w:p>
    <w:p w:rsidR="00ED2147" w:rsidRPr="008E33DF" w:rsidRDefault="00ED2147" w:rsidP="00830632">
      <w:pPr>
        <w:rPr>
          <w:rFonts w:cs="Helvetica"/>
          <w:b/>
        </w:rPr>
      </w:pPr>
      <w:r w:rsidRPr="008E33DF">
        <w:rPr>
          <w:rFonts w:cs="Helvetica"/>
          <w:b/>
        </w:rPr>
        <w:t>Deelvraag 4</w:t>
      </w:r>
    </w:p>
    <w:p w:rsidR="00830632" w:rsidRPr="008E33DF" w:rsidRDefault="00830632" w:rsidP="00830632">
      <w:pPr>
        <w:rPr>
          <w:rFonts w:cs="Helvetica"/>
        </w:rPr>
      </w:pPr>
      <w:r w:rsidRPr="008E33DF">
        <w:rPr>
          <w:rFonts w:cs="Helvetica"/>
        </w:rPr>
        <w:t>Welke f</w:t>
      </w:r>
      <w:r w:rsidR="00306DD0" w:rsidRPr="008E33DF">
        <w:rPr>
          <w:rFonts w:cs="Helvetica"/>
        </w:rPr>
        <w:t>eiten en omstandigheden</w:t>
      </w:r>
      <w:r w:rsidRPr="008E33DF">
        <w:rPr>
          <w:rFonts w:cs="Helvetica"/>
        </w:rPr>
        <w:t xml:space="preserve"> zijn doorslaggevend voor de rechter bij het toetsen </w:t>
      </w:r>
      <w:r w:rsidR="00D0510A" w:rsidRPr="008E33DF">
        <w:rPr>
          <w:rFonts w:cs="Helvetica"/>
        </w:rPr>
        <w:t>op</w:t>
      </w:r>
      <w:r w:rsidRPr="008E33DF">
        <w:rPr>
          <w:rFonts w:cs="Helvetica"/>
        </w:rPr>
        <w:t xml:space="preserve"> de </w:t>
      </w:r>
      <w:r w:rsidR="00D0510A" w:rsidRPr="008E33DF">
        <w:rPr>
          <w:rFonts w:cs="Helvetica"/>
        </w:rPr>
        <w:t>beoordelings</w:t>
      </w:r>
      <w:r w:rsidR="00306DD0" w:rsidRPr="008E33DF">
        <w:rPr>
          <w:rFonts w:cs="Helvetica"/>
        </w:rPr>
        <w:t>factoren</w:t>
      </w:r>
      <w:r w:rsidRPr="008E33DF">
        <w:rPr>
          <w:rFonts w:cs="Helvetica"/>
        </w:rPr>
        <w:t>?</w:t>
      </w:r>
    </w:p>
    <w:p w:rsidR="00533607" w:rsidRPr="008E33DF" w:rsidRDefault="00533607" w:rsidP="00830632">
      <w:pPr>
        <w:rPr>
          <w:rFonts w:cs="Helvetica"/>
        </w:rPr>
      </w:pPr>
    </w:p>
    <w:p w:rsidR="00830632" w:rsidRPr="008E33DF" w:rsidRDefault="00ED2147" w:rsidP="00533607">
      <w:pPr>
        <w:pStyle w:val="Kop2"/>
      </w:pPr>
      <w:bookmarkStart w:id="10" w:name="_Toc454253639"/>
      <w:r w:rsidRPr="008E33DF">
        <w:t>1.4 Onderzoeksmethoden per deelvraag</w:t>
      </w:r>
      <w:bookmarkEnd w:id="10"/>
    </w:p>
    <w:p w:rsidR="00E35BA6" w:rsidRPr="008E33DF" w:rsidRDefault="00E35BA6" w:rsidP="00E35BA6">
      <w:pPr>
        <w:rPr>
          <w:rFonts w:cs="Helvetica"/>
          <w:b/>
        </w:rPr>
      </w:pPr>
      <w:r w:rsidRPr="008E33DF">
        <w:rPr>
          <w:rFonts w:cs="Helvetica"/>
          <w:b/>
        </w:rPr>
        <w:t>Deelvraag 1</w:t>
      </w:r>
    </w:p>
    <w:p w:rsidR="00E35BA6" w:rsidRPr="008E33DF" w:rsidRDefault="00E35BA6" w:rsidP="00E35BA6">
      <w:pPr>
        <w:rPr>
          <w:rFonts w:cs="Helvetica"/>
          <w:i/>
        </w:rPr>
      </w:pPr>
      <w:r w:rsidRPr="008E33DF">
        <w:rPr>
          <w:rFonts w:cs="Helvetica"/>
          <w:i/>
        </w:rPr>
        <w:t xml:space="preserve">Welke wettelijke bepalingen gelden voor de </w:t>
      </w:r>
      <w:r w:rsidR="00ED3E62" w:rsidRPr="008E33DF">
        <w:rPr>
          <w:rFonts w:cs="Helvetica"/>
          <w:i/>
        </w:rPr>
        <w:t>huur</w:t>
      </w:r>
      <w:r w:rsidRPr="008E33DF">
        <w:rPr>
          <w:rFonts w:cs="Helvetica"/>
          <w:i/>
        </w:rPr>
        <w:t xml:space="preserve"> van woonruimte volgens</w:t>
      </w:r>
      <w:r w:rsidR="00ED3E62" w:rsidRPr="008E33DF">
        <w:rPr>
          <w:rFonts w:cs="Helvetica"/>
          <w:i/>
        </w:rPr>
        <w:t xml:space="preserve"> de</w:t>
      </w:r>
      <w:r w:rsidRPr="008E33DF">
        <w:rPr>
          <w:rFonts w:cs="Helvetica"/>
          <w:i/>
        </w:rPr>
        <w:t xml:space="preserve"> wet- en regelgeving?</w:t>
      </w:r>
    </w:p>
    <w:p w:rsidR="00533607" w:rsidRPr="008E33DF" w:rsidRDefault="00533607" w:rsidP="00E35BA6">
      <w:pPr>
        <w:rPr>
          <w:rFonts w:cs="Helvetica"/>
          <w:i/>
        </w:rPr>
      </w:pPr>
    </w:p>
    <w:p w:rsidR="00E35BA6" w:rsidRPr="008E33DF" w:rsidRDefault="00D0510A" w:rsidP="00E35BA6">
      <w:pPr>
        <w:rPr>
          <w:rFonts w:cs="Helvetica"/>
        </w:rPr>
      </w:pPr>
      <w:r w:rsidRPr="008E33DF">
        <w:rPr>
          <w:rFonts w:cs="Helvetica"/>
        </w:rPr>
        <w:t xml:space="preserve">Eerste </w:t>
      </w:r>
      <w:r w:rsidR="00E35BA6" w:rsidRPr="008E33DF">
        <w:rPr>
          <w:rFonts w:cs="Helvetica"/>
        </w:rPr>
        <w:t xml:space="preserve">deelvraag </w:t>
      </w:r>
      <w:r w:rsidRPr="008E33DF">
        <w:rPr>
          <w:rFonts w:cs="Helvetica"/>
        </w:rPr>
        <w:t>wordt beantwoord</w:t>
      </w:r>
      <w:r w:rsidR="00E35BA6" w:rsidRPr="008E33DF">
        <w:rPr>
          <w:rFonts w:cs="Helvetica"/>
        </w:rPr>
        <w:t xml:space="preserve"> aan de hand van wetsanalyse en literatuuronderzoe</w:t>
      </w:r>
      <w:r w:rsidR="003E30C5" w:rsidRPr="008E33DF">
        <w:rPr>
          <w:rFonts w:cs="Helvetica"/>
        </w:rPr>
        <w:t xml:space="preserve">k. De wet die </w:t>
      </w:r>
      <w:r w:rsidR="00D62AE1" w:rsidRPr="008E33DF">
        <w:rPr>
          <w:rFonts w:cs="Helvetica"/>
        </w:rPr>
        <w:t xml:space="preserve">wordt </w:t>
      </w:r>
      <w:r w:rsidR="003E30C5" w:rsidRPr="008E33DF">
        <w:rPr>
          <w:rFonts w:cs="Helvetica"/>
        </w:rPr>
        <w:t>onderzo</w:t>
      </w:r>
      <w:r w:rsidR="00D62AE1" w:rsidRPr="008E33DF">
        <w:rPr>
          <w:rFonts w:cs="Helvetica"/>
        </w:rPr>
        <w:t>cht</w:t>
      </w:r>
      <w:r w:rsidR="00E35BA6" w:rsidRPr="008E33DF">
        <w:rPr>
          <w:rFonts w:cs="Helvetica"/>
        </w:rPr>
        <w:t xml:space="preserve"> is Boek 7 Titel 4 BW. </w:t>
      </w:r>
      <w:r w:rsidR="00D62AE1" w:rsidRPr="008E33DF">
        <w:rPr>
          <w:rFonts w:cs="Helvetica"/>
        </w:rPr>
        <w:t>Daarvan wordt het</w:t>
      </w:r>
      <w:r w:rsidR="00E35BA6" w:rsidRPr="008E33DF">
        <w:rPr>
          <w:rFonts w:cs="Helvetica"/>
        </w:rPr>
        <w:t xml:space="preserve"> algemene deel (art. 7:201 t/m 7:282 BW) zeer selectief bestude</w:t>
      </w:r>
      <w:r w:rsidR="00D62AE1" w:rsidRPr="008E33DF">
        <w:rPr>
          <w:rFonts w:cs="Helvetica"/>
        </w:rPr>
        <w:t>e</w:t>
      </w:r>
      <w:r w:rsidR="00E35BA6" w:rsidRPr="008E33DF">
        <w:rPr>
          <w:rFonts w:cs="Helvetica"/>
        </w:rPr>
        <w:t>r</w:t>
      </w:r>
      <w:r w:rsidR="00D62AE1" w:rsidRPr="008E33DF">
        <w:rPr>
          <w:rFonts w:cs="Helvetica"/>
        </w:rPr>
        <w:t>d</w:t>
      </w:r>
      <w:r w:rsidR="00E35BA6" w:rsidRPr="008E33DF">
        <w:rPr>
          <w:rFonts w:cs="Helvetica"/>
        </w:rPr>
        <w:t xml:space="preserve">. </w:t>
      </w:r>
      <w:r w:rsidR="00D62AE1" w:rsidRPr="008E33DF">
        <w:rPr>
          <w:rFonts w:cs="Helvetica"/>
        </w:rPr>
        <w:t>De analyse richt zich vooral</w:t>
      </w:r>
      <w:r w:rsidR="00E35BA6" w:rsidRPr="008E33DF">
        <w:rPr>
          <w:rFonts w:cs="Helvetica"/>
        </w:rPr>
        <w:t xml:space="preserve"> op afdeling 5 (art. 7:232 t/m 7:282 BW). </w:t>
      </w:r>
    </w:p>
    <w:p w:rsidR="00533607" w:rsidRPr="008E33DF" w:rsidRDefault="00533607" w:rsidP="00E35BA6">
      <w:pPr>
        <w:rPr>
          <w:rFonts w:cs="Helvetica"/>
        </w:rPr>
      </w:pPr>
    </w:p>
    <w:p w:rsidR="00E35BA6" w:rsidRPr="008E33DF" w:rsidRDefault="00E35BA6" w:rsidP="00533607">
      <w:r w:rsidRPr="008E33DF">
        <w:t xml:space="preserve">Verder </w:t>
      </w:r>
      <w:r w:rsidR="00D62AE1" w:rsidRPr="008E33DF">
        <w:t>wordt de</w:t>
      </w:r>
      <w:r w:rsidR="00533607" w:rsidRPr="008E33DF">
        <w:t xml:space="preserve"> handboek</w:t>
      </w:r>
      <w:r w:rsidR="00D62AE1" w:rsidRPr="008E33DF">
        <w:t>en</w:t>
      </w:r>
      <w:r w:rsidR="00533607" w:rsidRPr="008E33DF">
        <w:t xml:space="preserve"> "</w:t>
      </w:r>
      <w:r w:rsidRPr="008E33DF">
        <w:t>Huurrecht w</w:t>
      </w:r>
      <w:r w:rsidR="00533607" w:rsidRPr="008E33DF">
        <w:t>oonruimte"</w:t>
      </w:r>
      <w:r w:rsidR="00D72ADE" w:rsidRPr="008E33DF">
        <w:t xml:space="preserve">, </w:t>
      </w:r>
      <w:r w:rsidR="00533607" w:rsidRPr="008E33DF">
        <w:t>"Hoofdlijnen in het huurrecht"</w:t>
      </w:r>
      <w:r w:rsidRPr="008E33DF">
        <w:t xml:space="preserve"> en </w:t>
      </w:r>
      <w:r w:rsidR="00533607" w:rsidRPr="008E33DF">
        <w:t>"</w:t>
      </w:r>
      <w:r w:rsidRPr="008E33DF">
        <w:t>Tekst &amp; Commentaar</w:t>
      </w:r>
      <w:r w:rsidR="00533607" w:rsidRPr="008E33DF">
        <w:t>: Burgerlijk Wetboek" (online versie)</w:t>
      </w:r>
      <w:r w:rsidR="00D62AE1" w:rsidRPr="008E33DF">
        <w:t xml:space="preserve"> geraadpleegd</w:t>
      </w:r>
      <w:r w:rsidRPr="008E33DF">
        <w:t>.</w:t>
      </w:r>
    </w:p>
    <w:p w:rsidR="00E35BA6" w:rsidRPr="008E33DF" w:rsidRDefault="00E35BA6" w:rsidP="00E35BA6">
      <w:pPr>
        <w:rPr>
          <w:rFonts w:cs="Helvetica"/>
          <w:i/>
        </w:rPr>
      </w:pPr>
    </w:p>
    <w:p w:rsidR="00E35BA6" w:rsidRPr="008E33DF" w:rsidRDefault="00E35BA6" w:rsidP="00E35BA6">
      <w:pPr>
        <w:rPr>
          <w:rFonts w:cs="Helvetica"/>
          <w:b/>
        </w:rPr>
      </w:pPr>
      <w:r w:rsidRPr="008E33DF">
        <w:rPr>
          <w:rFonts w:cs="Helvetica"/>
          <w:b/>
        </w:rPr>
        <w:t>Deelvraag 2</w:t>
      </w:r>
    </w:p>
    <w:p w:rsidR="00E35BA6" w:rsidRPr="008E33DF" w:rsidRDefault="00E35BA6" w:rsidP="00E35BA6">
      <w:pPr>
        <w:rPr>
          <w:rFonts w:cs="Helvetica"/>
          <w:i/>
        </w:rPr>
      </w:pPr>
      <w:r w:rsidRPr="008E33DF">
        <w:rPr>
          <w:rFonts w:cs="Helvetica"/>
          <w:i/>
        </w:rPr>
        <w:t>Wat zeg</w:t>
      </w:r>
      <w:r w:rsidR="00ED3E62" w:rsidRPr="008E33DF">
        <w:rPr>
          <w:rFonts w:cs="Helvetica"/>
          <w:i/>
        </w:rPr>
        <w:t>gen</w:t>
      </w:r>
      <w:r w:rsidRPr="008E33DF">
        <w:rPr>
          <w:rFonts w:cs="Helvetica"/>
          <w:i/>
        </w:rPr>
        <w:t xml:space="preserve"> de wet- en regelgeving en de parlementaire geschiedenis over </w:t>
      </w:r>
      <w:r w:rsidR="00ED3E62" w:rsidRPr="008E33DF">
        <w:rPr>
          <w:rFonts w:cs="Helvetica"/>
          <w:i/>
        </w:rPr>
        <w:t>huur</w:t>
      </w:r>
      <w:r w:rsidRPr="008E33DF">
        <w:rPr>
          <w:rFonts w:cs="Helvetica"/>
          <w:i/>
        </w:rPr>
        <w:t xml:space="preserve"> van woonruimte</w:t>
      </w:r>
      <w:r w:rsidR="00ED3E62" w:rsidRPr="008E33DF">
        <w:rPr>
          <w:rFonts w:cs="Helvetica"/>
          <w:i/>
        </w:rPr>
        <w:t xml:space="preserve"> die</w:t>
      </w:r>
      <w:r w:rsidRPr="008E33DF">
        <w:rPr>
          <w:rFonts w:cs="Helvetica"/>
          <w:i/>
        </w:rPr>
        <w:t xml:space="preserve"> naar zijn aard van korte duur</w:t>
      </w:r>
      <w:r w:rsidR="00ED3E62" w:rsidRPr="008E33DF">
        <w:rPr>
          <w:rFonts w:cs="Helvetica"/>
          <w:i/>
        </w:rPr>
        <w:t xml:space="preserve"> is</w:t>
      </w:r>
      <w:r w:rsidRPr="008E33DF">
        <w:rPr>
          <w:rFonts w:cs="Helvetica"/>
          <w:i/>
        </w:rPr>
        <w:t>?</w:t>
      </w:r>
    </w:p>
    <w:p w:rsidR="00533607" w:rsidRPr="008E33DF" w:rsidRDefault="00533607" w:rsidP="00E35BA6">
      <w:pPr>
        <w:rPr>
          <w:rFonts w:cs="Helvetica"/>
          <w:i/>
        </w:rPr>
      </w:pPr>
    </w:p>
    <w:p w:rsidR="00E35BA6" w:rsidRPr="008E33DF" w:rsidRDefault="00E35BA6" w:rsidP="00E35BA6">
      <w:pPr>
        <w:rPr>
          <w:rFonts w:cs="Helvetica"/>
        </w:rPr>
      </w:pPr>
      <w:r w:rsidRPr="008E33DF">
        <w:rPr>
          <w:rFonts w:cs="Helvetica"/>
        </w:rPr>
        <w:t>Ook de</w:t>
      </w:r>
      <w:r w:rsidR="00D62AE1" w:rsidRPr="008E33DF">
        <w:rPr>
          <w:rFonts w:cs="Helvetica"/>
        </w:rPr>
        <w:t xml:space="preserve"> tweede</w:t>
      </w:r>
      <w:r w:rsidRPr="008E33DF">
        <w:rPr>
          <w:rFonts w:cs="Helvetica"/>
        </w:rPr>
        <w:t xml:space="preserve"> deelvraag</w:t>
      </w:r>
      <w:r w:rsidR="00D62AE1" w:rsidRPr="008E33DF">
        <w:rPr>
          <w:rFonts w:cs="Helvetica"/>
        </w:rPr>
        <w:t xml:space="preserve"> wordt</w:t>
      </w:r>
      <w:r w:rsidRPr="008E33DF">
        <w:rPr>
          <w:rFonts w:cs="Helvetica"/>
        </w:rPr>
        <w:t xml:space="preserve"> be</w:t>
      </w:r>
      <w:r w:rsidR="00D62AE1" w:rsidRPr="008E33DF">
        <w:rPr>
          <w:rFonts w:cs="Helvetica"/>
        </w:rPr>
        <w:t xml:space="preserve">antwoord </w:t>
      </w:r>
      <w:r w:rsidRPr="008E33DF">
        <w:rPr>
          <w:rFonts w:cs="Helvetica"/>
        </w:rPr>
        <w:t xml:space="preserve">aan de hand van wetsanalyse en literatuuronderzoek. Bij het beantwoorden van deze deelvraag staat het </w:t>
      </w:r>
      <w:r w:rsidR="00D62AE1" w:rsidRPr="008E33DF">
        <w:rPr>
          <w:rFonts w:cs="Helvetica"/>
        </w:rPr>
        <w:t>(</w:t>
      </w:r>
      <w:r w:rsidRPr="008E33DF">
        <w:rPr>
          <w:rFonts w:cs="Helvetica"/>
        </w:rPr>
        <w:t>zeer beknopte</w:t>
      </w:r>
      <w:r w:rsidR="00D62AE1" w:rsidRPr="008E33DF">
        <w:rPr>
          <w:rFonts w:cs="Helvetica"/>
        </w:rPr>
        <w:t>) art.</w:t>
      </w:r>
      <w:r w:rsidRPr="008E33DF">
        <w:rPr>
          <w:rFonts w:cs="Helvetica"/>
        </w:rPr>
        <w:t xml:space="preserve"> 7:232 lid 2 BW </w:t>
      </w:r>
      <w:r w:rsidR="00D62AE1" w:rsidRPr="008E33DF">
        <w:rPr>
          <w:rFonts w:cs="Helvetica"/>
        </w:rPr>
        <w:t>centraal. D</w:t>
      </w:r>
      <w:r w:rsidRPr="008E33DF">
        <w:rPr>
          <w:rFonts w:cs="Helvetica"/>
        </w:rPr>
        <w:t xml:space="preserve">e </w:t>
      </w:r>
      <w:r w:rsidR="00D62AE1" w:rsidRPr="008E33DF">
        <w:rPr>
          <w:rFonts w:cs="Helvetica"/>
        </w:rPr>
        <w:t>Memorie van T</w:t>
      </w:r>
      <w:r w:rsidR="00BB5CA6" w:rsidRPr="008E33DF">
        <w:rPr>
          <w:rFonts w:cs="Helvetica"/>
        </w:rPr>
        <w:t>oelichting van het V</w:t>
      </w:r>
      <w:r w:rsidRPr="008E33DF">
        <w:rPr>
          <w:rFonts w:cs="Helvetica"/>
        </w:rPr>
        <w:t xml:space="preserve">oorstel van </w:t>
      </w:r>
      <w:r w:rsidR="00D62AE1" w:rsidRPr="008E33DF">
        <w:rPr>
          <w:rFonts w:cs="Helvetica"/>
        </w:rPr>
        <w:t>w</w:t>
      </w:r>
      <w:r w:rsidRPr="008E33DF">
        <w:rPr>
          <w:rFonts w:cs="Helvetica"/>
        </w:rPr>
        <w:t xml:space="preserve">et tot </w:t>
      </w:r>
      <w:r w:rsidR="00BB5CA6" w:rsidRPr="008E33DF">
        <w:rPr>
          <w:rFonts w:cs="Helvetica"/>
        </w:rPr>
        <w:t>V</w:t>
      </w:r>
      <w:r w:rsidRPr="008E33DF">
        <w:rPr>
          <w:rFonts w:cs="Helvetica"/>
        </w:rPr>
        <w:t xml:space="preserve">aststelling van titel 7.4 (Huur) van het Burgerlijk Wetboek en de parlementaire geschiedenis van </w:t>
      </w:r>
      <w:r w:rsidR="00D62AE1" w:rsidRPr="008E33DF">
        <w:rPr>
          <w:rFonts w:cs="Helvetica"/>
        </w:rPr>
        <w:t>deze</w:t>
      </w:r>
      <w:r w:rsidRPr="008E33DF">
        <w:rPr>
          <w:rFonts w:cs="Helvetica"/>
        </w:rPr>
        <w:t xml:space="preserve"> wet</w:t>
      </w:r>
      <w:r w:rsidR="00D62AE1" w:rsidRPr="008E33DF">
        <w:rPr>
          <w:rFonts w:cs="Helvetica"/>
        </w:rPr>
        <w:t xml:space="preserve"> worden</w:t>
      </w:r>
      <w:r w:rsidRPr="008E33DF">
        <w:rPr>
          <w:rFonts w:cs="Helvetica"/>
        </w:rPr>
        <w:t xml:space="preserve"> bestude</w:t>
      </w:r>
      <w:r w:rsidR="00D62AE1" w:rsidRPr="008E33DF">
        <w:rPr>
          <w:rFonts w:cs="Helvetica"/>
        </w:rPr>
        <w:t>erd</w:t>
      </w:r>
      <w:r w:rsidRPr="008E33DF">
        <w:rPr>
          <w:rFonts w:cs="Helvetica"/>
        </w:rPr>
        <w:t xml:space="preserve">. Bovendien </w:t>
      </w:r>
      <w:r w:rsidR="00D62AE1" w:rsidRPr="008E33DF">
        <w:rPr>
          <w:rFonts w:cs="Helvetica"/>
        </w:rPr>
        <w:t xml:space="preserve">wordt </w:t>
      </w:r>
      <w:r w:rsidR="00D72ADE" w:rsidRPr="008E33DF">
        <w:rPr>
          <w:rFonts w:cs="Helvetica"/>
        </w:rPr>
        <w:t xml:space="preserve">de literatuur </w:t>
      </w:r>
      <w:r w:rsidR="00D62AE1" w:rsidRPr="008E33DF">
        <w:rPr>
          <w:rFonts w:cs="Helvetica"/>
        </w:rPr>
        <w:t>ge</w:t>
      </w:r>
      <w:r w:rsidR="00D72ADE" w:rsidRPr="008E33DF">
        <w:rPr>
          <w:rFonts w:cs="Helvetica"/>
        </w:rPr>
        <w:t>raadple</w:t>
      </w:r>
      <w:r w:rsidR="00D62AE1" w:rsidRPr="008E33DF">
        <w:rPr>
          <w:rFonts w:cs="Helvetica"/>
        </w:rPr>
        <w:t>e</w:t>
      </w:r>
      <w:r w:rsidR="00D72ADE" w:rsidRPr="008E33DF">
        <w:rPr>
          <w:rFonts w:cs="Helvetica"/>
        </w:rPr>
        <w:t>g</w:t>
      </w:r>
      <w:r w:rsidR="00D62AE1" w:rsidRPr="008E33DF">
        <w:rPr>
          <w:rFonts w:cs="Helvetica"/>
        </w:rPr>
        <w:t xml:space="preserve">d, </w:t>
      </w:r>
      <w:r w:rsidR="00533607" w:rsidRPr="008E33DF">
        <w:rPr>
          <w:rFonts w:cs="Helvetica"/>
        </w:rPr>
        <w:t>genoemd bij deelvraag 1</w:t>
      </w:r>
      <w:r w:rsidR="00D72ADE" w:rsidRPr="008E33DF">
        <w:rPr>
          <w:rFonts w:cs="Helvetica"/>
        </w:rPr>
        <w:t>.</w:t>
      </w:r>
    </w:p>
    <w:p w:rsidR="00E35BA6" w:rsidRPr="008E33DF" w:rsidRDefault="00E35BA6" w:rsidP="00E35BA6">
      <w:pPr>
        <w:rPr>
          <w:rFonts w:cs="Helvetica"/>
        </w:rPr>
      </w:pPr>
    </w:p>
    <w:p w:rsidR="007108EC" w:rsidRPr="008E33DF" w:rsidRDefault="007108EC" w:rsidP="00E35BA6">
      <w:pPr>
        <w:rPr>
          <w:rFonts w:cs="Helvetica"/>
          <w:b/>
        </w:rPr>
      </w:pPr>
    </w:p>
    <w:p w:rsidR="00E35BA6" w:rsidRPr="008E33DF" w:rsidRDefault="00E35BA6" w:rsidP="00E35BA6">
      <w:pPr>
        <w:rPr>
          <w:rFonts w:cs="Helvetica"/>
          <w:b/>
        </w:rPr>
      </w:pPr>
      <w:r w:rsidRPr="008E33DF">
        <w:rPr>
          <w:rFonts w:cs="Helvetica"/>
          <w:b/>
        </w:rPr>
        <w:lastRenderedPageBreak/>
        <w:t>Deelvraag 3</w:t>
      </w:r>
      <w:r w:rsidR="003B31A6" w:rsidRPr="008E33DF">
        <w:rPr>
          <w:rFonts w:cs="Helvetica"/>
          <w:b/>
        </w:rPr>
        <w:t xml:space="preserve"> en 4</w:t>
      </w:r>
    </w:p>
    <w:p w:rsidR="00E35BA6" w:rsidRPr="008E33DF" w:rsidRDefault="00E35BA6" w:rsidP="00E35BA6">
      <w:pPr>
        <w:rPr>
          <w:rFonts w:cs="Helvetica"/>
          <w:i/>
        </w:rPr>
      </w:pPr>
      <w:r w:rsidRPr="008E33DF">
        <w:rPr>
          <w:rFonts w:cs="Helvetica"/>
          <w:i/>
        </w:rPr>
        <w:t xml:space="preserve">Welke </w:t>
      </w:r>
      <w:r w:rsidR="00AE5E99" w:rsidRPr="008E33DF">
        <w:rPr>
          <w:rFonts w:cs="Helvetica"/>
          <w:i/>
        </w:rPr>
        <w:t>factoren</w:t>
      </w:r>
      <w:r w:rsidRPr="008E33DF">
        <w:rPr>
          <w:rFonts w:cs="Helvetica"/>
          <w:i/>
        </w:rPr>
        <w:t xml:space="preserve"> worden getoetst door de rechter bij het toe- of afwijzen van een beroep op art. 7:232 lid 2 BW?</w:t>
      </w:r>
    </w:p>
    <w:p w:rsidR="00533607" w:rsidRPr="008E33DF" w:rsidRDefault="00533607" w:rsidP="00E35BA6">
      <w:pPr>
        <w:rPr>
          <w:rFonts w:cs="Helvetica"/>
          <w:color w:val="FF0000"/>
        </w:rPr>
      </w:pPr>
    </w:p>
    <w:p w:rsidR="003B31A6" w:rsidRPr="008E33DF" w:rsidRDefault="003B31A6" w:rsidP="003B31A6">
      <w:pPr>
        <w:rPr>
          <w:rFonts w:cs="Helvetica"/>
          <w:i/>
        </w:rPr>
      </w:pPr>
      <w:r w:rsidRPr="008E33DF">
        <w:rPr>
          <w:rFonts w:cs="Helvetica"/>
          <w:i/>
        </w:rPr>
        <w:t xml:space="preserve">Welke feiten en omstandigheden zijn doorslaggevend voor de rechter bij het toetsen </w:t>
      </w:r>
      <w:r w:rsidR="00ED3E62" w:rsidRPr="008E33DF">
        <w:rPr>
          <w:rFonts w:cs="Helvetica"/>
          <w:i/>
        </w:rPr>
        <w:t>op</w:t>
      </w:r>
      <w:r w:rsidRPr="008E33DF">
        <w:rPr>
          <w:rFonts w:cs="Helvetica"/>
          <w:i/>
        </w:rPr>
        <w:t xml:space="preserve"> de </w:t>
      </w:r>
      <w:r w:rsidR="00ED3E62" w:rsidRPr="008E33DF">
        <w:rPr>
          <w:rFonts w:cs="Helvetica"/>
          <w:i/>
        </w:rPr>
        <w:t>beoordelings</w:t>
      </w:r>
      <w:r w:rsidRPr="008E33DF">
        <w:rPr>
          <w:rFonts w:cs="Helvetica"/>
          <w:i/>
        </w:rPr>
        <w:t>factoren?</w:t>
      </w:r>
    </w:p>
    <w:p w:rsidR="003B31A6" w:rsidRPr="008E33DF" w:rsidRDefault="003B31A6" w:rsidP="003B31A6">
      <w:pPr>
        <w:rPr>
          <w:rFonts w:cs="Helvetica"/>
          <w:i/>
        </w:rPr>
      </w:pPr>
    </w:p>
    <w:p w:rsidR="008F0908" w:rsidRPr="008E33DF" w:rsidRDefault="00452512" w:rsidP="008F0908">
      <w:pPr>
        <w:rPr>
          <w:rFonts w:cs="Helvetica"/>
        </w:rPr>
      </w:pPr>
      <w:r w:rsidRPr="008E33DF">
        <w:t>Deelvrag</w:t>
      </w:r>
      <w:r w:rsidR="00D62AE1" w:rsidRPr="008E33DF">
        <w:t>en</w:t>
      </w:r>
      <w:r w:rsidRPr="008E33DF">
        <w:t xml:space="preserve"> 3 en 4 </w:t>
      </w:r>
      <w:r w:rsidR="00D62AE1" w:rsidRPr="008E33DF">
        <w:t>betreffen het praktijkgedeelte van dit onderzoek. De deelvragen worden</w:t>
      </w:r>
      <w:r w:rsidRPr="008E33DF">
        <w:t xml:space="preserve"> beantwoord aan de hand van jurisprudentieonderzoek. </w:t>
      </w:r>
      <w:r w:rsidR="005519C9" w:rsidRPr="008E33DF">
        <w:rPr>
          <w:rFonts w:cs="Helvetica"/>
        </w:rPr>
        <w:t xml:space="preserve">De uitspraken </w:t>
      </w:r>
      <w:r w:rsidRPr="008E33DF">
        <w:rPr>
          <w:rFonts w:cs="Helvetica"/>
        </w:rPr>
        <w:t xml:space="preserve">die zullen worden geanalyseerd </w:t>
      </w:r>
      <w:r w:rsidR="00E7574F" w:rsidRPr="008E33DF">
        <w:rPr>
          <w:rFonts w:cs="Helvetica"/>
        </w:rPr>
        <w:t>zijn</w:t>
      </w:r>
      <w:r w:rsidR="005519C9" w:rsidRPr="008E33DF">
        <w:rPr>
          <w:rFonts w:cs="Helvetica"/>
        </w:rPr>
        <w:t xml:space="preserve"> gevonden op</w:t>
      </w:r>
      <w:r w:rsidR="00CC73E9" w:rsidRPr="008E33DF">
        <w:rPr>
          <w:rFonts w:cs="Helvetica"/>
        </w:rPr>
        <w:t xml:space="preserve"> Rechtspraak.nl en op de</w:t>
      </w:r>
      <w:r w:rsidR="005519C9" w:rsidRPr="008E33DF">
        <w:rPr>
          <w:rFonts w:cs="Helvetica"/>
        </w:rPr>
        <w:t xml:space="preserve"> portal</w:t>
      </w:r>
      <w:r w:rsidR="00CC73E9" w:rsidRPr="008E33DF">
        <w:rPr>
          <w:rFonts w:cs="Helvetica"/>
        </w:rPr>
        <w:t xml:space="preserve"> Kluwer Navigator</w:t>
      </w:r>
      <w:r w:rsidR="005519C9" w:rsidRPr="008E33DF">
        <w:rPr>
          <w:rFonts w:cs="Helvetica"/>
        </w:rPr>
        <w:t xml:space="preserve">. </w:t>
      </w:r>
      <w:r w:rsidR="00E7574F" w:rsidRPr="008E33DF">
        <w:rPr>
          <w:rFonts w:cs="Helvetica"/>
        </w:rPr>
        <w:t>D</w:t>
      </w:r>
      <w:r w:rsidR="00CC73E9" w:rsidRPr="008E33DF">
        <w:rPr>
          <w:rFonts w:cs="Helvetica"/>
        </w:rPr>
        <w:t>e volgende zoektermen</w:t>
      </w:r>
      <w:r w:rsidR="00E7574F" w:rsidRPr="008E33DF">
        <w:rPr>
          <w:rFonts w:cs="Helvetica"/>
        </w:rPr>
        <w:t xml:space="preserve"> zijn</w:t>
      </w:r>
      <w:r w:rsidR="00CC73E9" w:rsidRPr="008E33DF">
        <w:rPr>
          <w:rFonts w:cs="Helvetica"/>
        </w:rPr>
        <w:t xml:space="preserve"> gebruikt</w:t>
      </w:r>
      <w:r w:rsidR="00E7574F" w:rsidRPr="008E33DF">
        <w:rPr>
          <w:rFonts w:cs="Helvetica"/>
        </w:rPr>
        <w:t xml:space="preserve"> bij het zoeken</w:t>
      </w:r>
      <w:r w:rsidR="00CC73E9" w:rsidRPr="008E33DF">
        <w:rPr>
          <w:rFonts w:cs="Helvetica"/>
        </w:rPr>
        <w:t xml:space="preserve">: "7:232 lid 2", </w:t>
      </w:r>
      <w:r w:rsidR="005519C9" w:rsidRPr="008E33DF">
        <w:rPr>
          <w:rFonts w:cs="Helvetica"/>
        </w:rPr>
        <w:t xml:space="preserve">"naar zijn aard van korte duur" en "aard van korte duur". </w:t>
      </w:r>
      <w:r w:rsidR="00D62AE1" w:rsidRPr="008E33DF">
        <w:rPr>
          <w:rFonts w:cs="Helvetica"/>
        </w:rPr>
        <w:t>D</w:t>
      </w:r>
      <w:r w:rsidR="005519C9" w:rsidRPr="008E33DF">
        <w:rPr>
          <w:rFonts w:cs="Helvetica"/>
        </w:rPr>
        <w:t>e zoekfunctie</w:t>
      </w:r>
      <w:r w:rsidR="00D62AE1" w:rsidRPr="008E33DF">
        <w:rPr>
          <w:rFonts w:cs="Helvetica"/>
        </w:rPr>
        <w:t xml:space="preserve"> is</w:t>
      </w:r>
      <w:r w:rsidR="005519C9" w:rsidRPr="008E33DF">
        <w:rPr>
          <w:rFonts w:cs="Helvetica"/>
        </w:rPr>
        <w:t xml:space="preserve"> niet beperkt op datum. </w:t>
      </w:r>
    </w:p>
    <w:p w:rsidR="003B31A6" w:rsidRPr="008E33DF" w:rsidRDefault="003B31A6" w:rsidP="008F0908">
      <w:pPr>
        <w:rPr>
          <w:rFonts w:cs="Helvetica"/>
        </w:rPr>
      </w:pPr>
    </w:p>
    <w:p w:rsidR="003B31A6" w:rsidRPr="008E33DF" w:rsidRDefault="00D62AE1" w:rsidP="008F0908">
      <w:r w:rsidRPr="008E33DF">
        <w:rPr>
          <w:rFonts w:cs="Helvetica"/>
        </w:rPr>
        <w:t>Het voornemen was o</w:t>
      </w:r>
      <w:r w:rsidR="003B31A6" w:rsidRPr="008E33DF">
        <w:rPr>
          <w:rFonts w:cs="Helvetica"/>
        </w:rPr>
        <w:t>m alle gevonden uitspraken te bestuderen. Dit waren</w:t>
      </w:r>
      <w:r w:rsidR="00177E11" w:rsidRPr="008E33DF">
        <w:rPr>
          <w:rFonts w:cs="Helvetica"/>
        </w:rPr>
        <w:t xml:space="preserve"> er</w:t>
      </w:r>
      <w:r w:rsidR="003B31A6" w:rsidRPr="008E33DF">
        <w:rPr>
          <w:rFonts w:cs="Helvetica"/>
        </w:rPr>
        <w:t xml:space="preserve"> echter te veel om te bestuderen</w:t>
      </w:r>
      <w:r w:rsidRPr="008E33DF">
        <w:rPr>
          <w:rFonts w:cs="Helvetica"/>
        </w:rPr>
        <w:t>,</w:t>
      </w:r>
      <w:r w:rsidR="003B31A6" w:rsidRPr="008E33DF">
        <w:rPr>
          <w:rFonts w:cs="Helvetica"/>
        </w:rPr>
        <w:t xml:space="preserve"> gezien de haalbaarheid. </w:t>
      </w:r>
      <w:r w:rsidRPr="008E33DF">
        <w:rPr>
          <w:rFonts w:cs="Helvetica"/>
        </w:rPr>
        <w:t>Derhalve worden</w:t>
      </w:r>
      <w:r w:rsidR="00177E11" w:rsidRPr="008E33DF">
        <w:rPr>
          <w:rFonts w:cs="Helvetica"/>
        </w:rPr>
        <w:t xml:space="preserve"> in dit onderzoek 40 uitspraken bestudeerd. Nu in dit onderzoek een antwoord wordt gezocht op de vraag welke feiten en omstandigheden doorslaggevend zijn bij de toetsing van de rechter op de relevante factoren bij een beroep op art. 7:232 lid 2 BW, vallen de uitspraken van de Hoge Raad af. De Hoge Raad is namelijk geen feitenrechter. </w:t>
      </w:r>
      <w:r w:rsidR="00452512" w:rsidRPr="008E33DF">
        <w:rPr>
          <w:rFonts w:cs="Helvetica"/>
        </w:rPr>
        <w:t xml:space="preserve">Vervolgens is er voor gekozen om </w:t>
      </w:r>
      <w:r w:rsidRPr="008E33DF">
        <w:rPr>
          <w:rFonts w:cs="Helvetica"/>
        </w:rPr>
        <w:t xml:space="preserve">enkel </w:t>
      </w:r>
      <w:r w:rsidR="00452512" w:rsidRPr="008E33DF">
        <w:rPr>
          <w:rFonts w:cs="Helvetica"/>
        </w:rPr>
        <w:t>de uitspraken te bestuderen van de eerstelijns rechter. Dit is namelijk de instantie waar</w:t>
      </w:r>
      <w:r w:rsidRPr="008E33DF">
        <w:rPr>
          <w:rFonts w:cs="Helvetica"/>
        </w:rPr>
        <w:t>mee</w:t>
      </w:r>
      <w:r w:rsidR="00452512" w:rsidRPr="008E33DF">
        <w:rPr>
          <w:rFonts w:cs="Helvetica"/>
        </w:rPr>
        <w:t xml:space="preserve"> Onze Advocaat als eerste te maken heeft</w:t>
      </w:r>
      <w:r w:rsidRPr="008E33DF">
        <w:rPr>
          <w:rFonts w:cs="Helvetica"/>
        </w:rPr>
        <w:t>,</w:t>
      </w:r>
      <w:r w:rsidR="00452512" w:rsidRPr="008E33DF">
        <w:rPr>
          <w:rFonts w:cs="Helvetica"/>
        </w:rPr>
        <w:t xml:space="preserve"> wanneer zich een geval voordoet waarbij een rechterlijke tussenkomst noodzakelijk is. Er zijn in totaal 60 uitspraken van de rechtbank gevonden. Uit deze uitspraken zijn de 40 meest recente uitspraken geselecteerd.</w:t>
      </w:r>
    </w:p>
    <w:p w:rsidR="008F0908" w:rsidRPr="008E33DF" w:rsidRDefault="008F0908" w:rsidP="00E35BA6">
      <w:pPr>
        <w:rPr>
          <w:rFonts w:cs="Helvetica"/>
          <w:color w:val="FF0000"/>
        </w:rPr>
      </w:pPr>
    </w:p>
    <w:p w:rsidR="00452512" w:rsidRPr="008E33DF" w:rsidRDefault="00452512" w:rsidP="00E7574F"/>
    <w:p w:rsidR="00452512" w:rsidRPr="008E33DF" w:rsidRDefault="00452512" w:rsidP="00E7574F"/>
    <w:p w:rsidR="002C3DFA" w:rsidRPr="008E33DF" w:rsidRDefault="002C3DFA">
      <w:pPr>
        <w:rPr>
          <w:rFonts w:cs="Helvetica"/>
          <w:b/>
          <w:sz w:val="28"/>
          <w:szCs w:val="28"/>
        </w:rPr>
      </w:pPr>
    </w:p>
    <w:p w:rsidR="002C3DFA" w:rsidRPr="008E33DF" w:rsidRDefault="002C3DFA">
      <w:pPr>
        <w:rPr>
          <w:rFonts w:cs="Helvetica"/>
          <w:b/>
          <w:sz w:val="28"/>
          <w:szCs w:val="28"/>
        </w:rPr>
      </w:pPr>
    </w:p>
    <w:p w:rsidR="002C3DFA" w:rsidRPr="008E33DF" w:rsidRDefault="002C3DFA">
      <w:pPr>
        <w:rPr>
          <w:rFonts w:cs="Helvetica"/>
          <w:b/>
          <w:sz w:val="28"/>
          <w:szCs w:val="28"/>
        </w:rPr>
      </w:pPr>
    </w:p>
    <w:p w:rsidR="002C3DFA" w:rsidRPr="008E33DF" w:rsidRDefault="002C3DFA">
      <w:pPr>
        <w:rPr>
          <w:rFonts w:cs="Helvetica"/>
          <w:b/>
          <w:sz w:val="28"/>
          <w:szCs w:val="28"/>
        </w:rPr>
      </w:pPr>
    </w:p>
    <w:p w:rsidR="002C3DFA" w:rsidRPr="008E33DF" w:rsidRDefault="002C3DFA">
      <w:pPr>
        <w:rPr>
          <w:rFonts w:cs="Helvetica"/>
          <w:b/>
          <w:sz w:val="28"/>
          <w:szCs w:val="28"/>
        </w:rPr>
      </w:pPr>
    </w:p>
    <w:p w:rsidR="002C3DFA" w:rsidRPr="008E33DF" w:rsidRDefault="002C3DFA">
      <w:pPr>
        <w:rPr>
          <w:rFonts w:cs="Helvetica"/>
          <w:b/>
          <w:sz w:val="28"/>
          <w:szCs w:val="28"/>
        </w:rPr>
      </w:pPr>
    </w:p>
    <w:p w:rsidR="002C3DFA" w:rsidRPr="008E33DF" w:rsidRDefault="002C3DFA">
      <w:pPr>
        <w:rPr>
          <w:rFonts w:cs="Helvetica"/>
          <w:b/>
          <w:sz w:val="28"/>
          <w:szCs w:val="28"/>
        </w:rPr>
      </w:pPr>
    </w:p>
    <w:p w:rsidR="002C3DFA" w:rsidRPr="008E33DF" w:rsidRDefault="002C3DFA">
      <w:pPr>
        <w:rPr>
          <w:rFonts w:cs="Helvetica"/>
          <w:b/>
          <w:sz w:val="28"/>
          <w:szCs w:val="28"/>
        </w:rPr>
      </w:pPr>
    </w:p>
    <w:p w:rsidR="002C3DFA" w:rsidRPr="008E33DF" w:rsidRDefault="002C3DFA">
      <w:pPr>
        <w:rPr>
          <w:rFonts w:cs="Helvetica"/>
          <w:b/>
          <w:sz w:val="28"/>
          <w:szCs w:val="28"/>
        </w:rPr>
      </w:pPr>
    </w:p>
    <w:p w:rsidR="002C3DFA" w:rsidRPr="008E33DF" w:rsidRDefault="002C3DFA">
      <w:pPr>
        <w:rPr>
          <w:rFonts w:cs="Helvetica"/>
          <w:b/>
          <w:sz w:val="28"/>
          <w:szCs w:val="28"/>
        </w:rPr>
      </w:pPr>
    </w:p>
    <w:p w:rsidR="00850839" w:rsidRPr="008E33DF" w:rsidRDefault="00850839" w:rsidP="002C3DFA">
      <w:pPr>
        <w:pStyle w:val="Kop1"/>
      </w:pPr>
      <w:bookmarkStart w:id="11" w:name="_Toc454253640"/>
      <w:r w:rsidRPr="008E33DF">
        <w:lastRenderedPageBreak/>
        <w:t>2. Verhuur van woonruimte</w:t>
      </w:r>
      <w:bookmarkEnd w:id="11"/>
    </w:p>
    <w:p w:rsidR="002C3DFA" w:rsidRPr="008E33DF" w:rsidRDefault="002C3DFA" w:rsidP="002C3DFA"/>
    <w:p w:rsidR="00850839" w:rsidRPr="008E33DF" w:rsidRDefault="00A16931" w:rsidP="00850839">
      <w:pPr>
        <w:rPr>
          <w:rFonts w:cs="Helvetica"/>
        </w:rPr>
      </w:pPr>
      <w:r w:rsidRPr="008E33DF">
        <w:rPr>
          <w:rFonts w:cs="Helvetica"/>
        </w:rPr>
        <w:t xml:space="preserve">In dit hoofdstuk </w:t>
      </w:r>
      <w:r w:rsidR="00836B67" w:rsidRPr="008E33DF">
        <w:rPr>
          <w:rFonts w:cs="Helvetica"/>
        </w:rPr>
        <w:t>wordt</w:t>
      </w:r>
      <w:r w:rsidRPr="008E33DF">
        <w:rPr>
          <w:rFonts w:cs="Helvetica"/>
        </w:rPr>
        <w:t xml:space="preserve"> de </w:t>
      </w:r>
      <w:r w:rsidR="00836B67" w:rsidRPr="008E33DF">
        <w:rPr>
          <w:rFonts w:cs="Helvetica"/>
        </w:rPr>
        <w:t>eerste</w:t>
      </w:r>
      <w:r w:rsidRPr="008E33DF">
        <w:rPr>
          <w:rFonts w:cs="Helvetica"/>
        </w:rPr>
        <w:t xml:space="preserve"> deelvraag beantwoord:</w:t>
      </w:r>
    </w:p>
    <w:p w:rsidR="007108EC" w:rsidRPr="008E33DF" w:rsidRDefault="007108EC" w:rsidP="007108EC">
      <w:pPr>
        <w:rPr>
          <w:rFonts w:cs="Helvetica"/>
          <w:i/>
        </w:rPr>
      </w:pPr>
      <w:r w:rsidRPr="008E33DF">
        <w:rPr>
          <w:rFonts w:cs="Helvetica"/>
          <w:i/>
        </w:rPr>
        <w:t>Welke wettelijke bepalingen gelden voor de huur van woonruimte volgens de wet- en regelgeving?</w:t>
      </w:r>
    </w:p>
    <w:p w:rsidR="00836B67" w:rsidRPr="008E33DF" w:rsidRDefault="00836B67">
      <w:pPr>
        <w:rPr>
          <w:rFonts w:cs="Helvetica"/>
        </w:rPr>
      </w:pPr>
    </w:p>
    <w:p w:rsidR="00597D90" w:rsidRPr="008E33DF" w:rsidRDefault="00DA1281">
      <w:pPr>
        <w:rPr>
          <w:rFonts w:cs="Helvetica"/>
        </w:rPr>
      </w:pPr>
      <w:r w:rsidRPr="008E33DF">
        <w:rPr>
          <w:rFonts w:cs="Helvetica"/>
        </w:rPr>
        <w:t xml:space="preserve">De lezer </w:t>
      </w:r>
      <w:r w:rsidR="00836B67" w:rsidRPr="008E33DF">
        <w:rPr>
          <w:rFonts w:cs="Helvetica"/>
        </w:rPr>
        <w:t>wordt</w:t>
      </w:r>
      <w:r w:rsidRPr="008E33DF">
        <w:rPr>
          <w:rFonts w:cs="Helvetica"/>
        </w:rPr>
        <w:t xml:space="preserve"> in dit hoofdstuk inzicht </w:t>
      </w:r>
      <w:r w:rsidR="00836B67" w:rsidRPr="008E33DF">
        <w:rPr>
          <w:rFonts w:cs="Helvetica"/>
        </w:rPr>
        <w:t>gegeven in de</w:t>
      </w:r>
      <w:r w:rsidR="00466908" w:rsidRPr="008E33DF">
        <w:rPr>
          <w:rFonts w:cs="Helvetica"/>
        </w:rPr>
        <w:t xml:space="preserve"> voor dit onderz</w:t>
      </w:r>
      <w:r w:rsidR="00836B67" w:rsidRPr="008E33DF">
        <w:rPr>
          <w:rFonts w:cs="Helvetica"/>
        </w:rPr>
        <w:t>oek relevante</w:t>
      </w:r>
      <w:r w:rsidR="00466908" w:rsidRPr="008E33DF">
        <w:rPr>
          <w:rFonts w:cs="Helvetica"/>
        </w:rPr>
        <w:t xml:space="preserve"> wetgeving. </w:t>
      </w:r>
      <w:r w:rsidR="00916CBB" w:rsidRPr="008E33DF">
        <w:rPr>
          <w:rFonts w:cs="Helvetica"/>
        </w:rPr>
        <w:t>Hierbij worden onder meer</w:t>
      </w:r>
      <w:r w:rsidRPr="008E33DF">
        <w:rPr>
          <w:rFonts w:cs="Helvetica"/>
        </w:rPr>
        <w:t xml:space="preserve"> de definitie</w:t>
      </w:r>
      <w:r w:rsidR="00836B67" w:rsidRPr="008E33DF">
        <w:rPr>
          <w:rFonts w:cs="Helvetica"/>
        </w:rPr>
        <w:t xml:space="preserve">s van 'huurovereenkomst' en </w:t>
      </w:r>
      <w:r w:rsidRPr="008E33DF">
        <w:rPr>
          <w:rFonts w:cs="Helvetica"/>
        </w:rPr>
        <w:t>'woonruimte'</w:t>
      </w:r>
      <w:r w:rsidR="00836B67" w:rsidRPr="008E33DF">
        <w:rPr>
          <w:rFonts w:cs="Helvetica"/>
        </w:rPr>
        <w:t xml:space="preserve"> gegeven en worden</w:t>
      </w:r>
      <w:r w:rsidR="00DA2975" w:rsidRPr="008E33DF">
        <w:rPr>
          <w:rFonts w:cs="Helvetica"/>
        </w:rPr>
        <w:t xml:space="preserve">de </w:t>
      </w:r>
      <w:r w:rsidRPr="008E33DF">
        <w:rPr>
          <w:rFonts w:cs="Helvetica"/>
        </w:rPr>
        <w:t>beëindiging</w:t>
      </w:r>
      <w:r w:rsidR="00DA2975" w:rsidRPr="008E33DF">
        <w:rPr>
          <w:rFonts w:cs="Helvetica"/>
        </w:rPr>
        <w:t xml:space="preserve"> van een</w:t>
      </w:r>
      <w:r w:rsidRPr="008E33DF">
        <w:rPr>
          <w:rFonts w:cs="Helvetica"/>
        </w:rPr>
        <w:t xml:space="preserve"> huurovereenkomst van woonruimte, de opzeggingsgronden en uitzonderingen</w:t>
      </w:r>
      <w:r w:rsidR="00916CBB" w:rsidRPr="008E33DF">
        <w:rPr>
          <w:rFonts w:cs="Helvetica"/>
        </w:rPr>
        <w:t xml:space="preserve"> behandeld</w:t>
      </w:r>
      <w:r w:rsidRPr="008E33DF">
        <w:rPr>
          <w:rFonts w:cs="Helvetica"/>
        </w:rPr>
        <w:t xml:space="preserve">. </w:t>
      </w:r>
      <w:r w:rsidR="00836B67" w:rsidRPr="008E33DF">
        <w:rPr>
          <w:rFonts w:cs="Helvetica"/>
        </w:rPr>
        <w:t>In dit hoofdstuk zal blijken</w:t>
      </w:r>
      <w:r w:rsidR="00597D90" w:rsidRPr="008E33DF">
        <w:rPr>
          <w:rFonts w:cs="Helvetica"/>
        </w:rPr>
        <w:t xml:space="preserve"> hoe beperkt de mogelijkheid is voor de verhuur</w:t>
      </w:r>
      <w:r w:rsidR="00916CBB" w:rsidRPr="008E33DF">
        <w:rPr>
          <w:rFonts w:cs="Helvetica"/>
        </w:rPr>
        <w:t>der</w:t>
      </w:r>
      <w:r w:rsidR="00D4304F" w:rsidRPr="008E33DF">
        <w:rPr>
          <w:rFonts w:cs="Helvetica"/>
        </w:rPr>
        <w:t xml:space="preserve"> </w:t>
      </w:r>
      <w:r w:rsidR="00DA2975" w:rsidRPr="008E33DF">
        <w:rPr>
          <w:rFonts w:cs="Helvetica"/>
        </w:rPr>
        <w:t>om zijn woonruimte voor een korte duur te verhuren.</w:t>
      </w:r>
    </w:p>
    <w:p w:rsidR="001C189D" w:rsidRPr="008E33DF" w:rsidRDefault="001C189D" w:rsidP="001C189D">
      <w:pPr>
        <w:rPr>
          <w:rFonts w:cs="Helvetica"/>
          <w:b/>
          <w:color w:val="548DD4" w:themeColor="text2" w:themeTint="99"/>
        </w:rPr>
      </w:pPr>
    </w:p>
    <w:p w:rsidR="001C189D" w:rsidRPr="008E33DF" w:rsidRDefault="001C189D" w:rsidP="002C3DFA">
      <w:pPr>
        <w:pStyle w:val="Kop2"/>
      </w:pPr>
      <w:bookmarkStart w:id="12" w:name="_Toc454253641"/>
      <w:r w:rsidRPr="008E33DF">
        <w:t>2.1 Algemeen</w:t>
      </w:r>
      <w:bookmarkEnd w:id="12"/>
    </w:p>
    <w:p w:rsidR="001C189D" w:rsidRPr="008E33DF" w:rsidRDefault="00916CBB" w:rsidP="001C189D">
      <w:pPr>
        <w:rPr>
          <w:rFonts w:cs="Helvetica"/>
        </w:rPr>
      </w:pPr>
      <w:r w:rsidRPr="008E33DF">
        <w:rPr>
          <w:rFonts w:cs="Helvetica"/>
        </w:rPr>
        <w:t>Het h</w:t>
      </w:r>
      <w:r w:rsidR="001C189D" w:rsidRPr="008E33DF">
        <w:rPr>
          <w:rFonts w:cs="Helvetica"/>
        </w:rPr>
        <w:t xml:space="preserve">uurrecht is geregeld in Boek 7 Titel 4 </w:t>
      </w:r>
      <w:r w:rsidR="006B6378" w:rsidRPr="008E33DF">
        <w:rPr>
          <w:rFonts w:cs="Helvetica"/>
        </w:rPr>
        <w:t>B</w:t>
      </w:r>
      <w:r w:rsidR="001C189D" w:rsidRPr="008E33DF">
        <w:rPr>
          <w:rFonts w:cs="Helvetica"/>
        </w:rPr>
        <w:t xml:space="preserve">W. </w:t>
      </w:r>
      <w:r w:rsidR="006B6378" w:rsidRPr="008E33DF">
        <w:rPr>
          <w:rFonts w:cs="Helvetica"/>
        </w:rPr>
        <w:t>Een h</w:t>
      </w:r>
      <w:r w:rsidR="001C189D" w:rsidRPr="008E33DF">
        <w:rPr>
          <w:rFonts w:cs="Helvetica"/>
        </w:rPr>
        <w:t>uur</w:t>
      </w:r>
      <w:r w:rsidR="006B6378" w:rsidRPr="008E33DF">
        <w:rPr>
          <w:rFonts w:cs="Helvetica"/>
        </w:rPr>
        <w:t>overeenkomst</w:t>
      </w:r>
      <w:r w:rsidR="001C189D" w:rsidRPr="008E33DF">
        <w:rPr>
          <w:rFonts w:cs="Helvetica"/>
        </w:rPr>
        <w:t xml:space="preserve"> is namelijk een bijzondere overeenkomst. Het algemene deel is te vinden in de artikelen 7:201 </w:t>
      </w:r>
      <w:r w:rsidR="006B6378" w:rsidRPr="008E33DF">
        <w:rPr>
          <w:rFonts w:cs="Helvetica"/>
        </w:rPr>
        <w:t>t/m</w:t>
      </w:r>
      <w:r w:rsidR="001C189D" w:rsidRPr="008E33DF">
        <w:rPr>
          <w:rFonts w:cs="Helvetica"/>
        </w:rPr>
        <w:t xml:space="preserve"> 7:231 BW. Hierin zijn bepalingen opgenomen die gelden voor alle vormen van huur en verhuur. </w:t>
      </w:r>
    </w:p>
    <w:p w:rsidR="001C189D" w:rsidRPr="008E33DF" w:rsidRDefault="001C189D" w:rsidP="001C189D">
      <w:pPr>
        <w:rPr>
          <w:rFonts w:cs="Helvetica"/>
        </w:rPr>
      </w:pPr>
      <w:r w:rsidRPr="008E33DF">
        <w:rPr>
          <w:rFonts w:cs="Helvetica"/>
        </w:rPr>
        <w:t xml:space="preserve">Zo luidt art. 7:201 BW: </w:t>
      </w:r>
      <w:r w:rsidR="00D4304F" w:rsidRPr="008E33DF">
        <w:rPr>
          <w:rFonts w:cs="Helvetica"/>
          <w:i/>
        </w:rPr>
        <w:t>"</w:t>
      </w:r>
      <w:r w:rsidRPr="008E33DF">
        <w:rPr>
          <w:rFonts w:cs="Helvetica"/>
          <w:i/>
        </w:rPr>
        <w:t>Huur is de overeenkomst waarbij de ene partij, de verhuurder, zich verbindt aan de andere partij, de huurder, een zaak of een gedeelte daarvan in gebruik te verstrekken en de huurder zich verbindt tot een tegenprestatie</w:t>
      </w:r>
      <w:r w:rsidR="00D4304F" w:rsidRPr="008E33DF">
        <w:rPr>
          <w:rFonts w:cs="Helvetica"/>
          <w:i/>
        </w:rPr>
        <w:t>"</w:t>
      </w:r>
    </w:p>
    <w:p w:rsidR="001C189D" w:rsidRPr="008E33DF" w:rsidRDefault="001C189D" w:rsidP="001C189D">
      <w:pPr>
        <w:rPr>
          <w:rFonts w:cs="Helvetica"/>
        </w:rPr>
      </w:pPr>
      <w:r w:rsidRPr="008E33DF">
        <w:rPr>
          <w:rFonts w:cs="Helvetica"/>
        </w:rPr>
        <w:t xml:space="preserve">Als bij dit artikel het voorbeeld </w:t>
      </w:r>
      <w:r w:rsidR="006B6378" w:rsidRPr="008E33DF">
        <w:rPr>
          <w:rFonts w:cs="Helvetica"/>
        </w:rPr>
        <w:t>wordt genomen</w:t>
      </w:r>
      <w:r w:rsidRPr="008E33DF">
        <w:rPr>
          <w:rFonts w:cs="Helvetica"/>
        </w:rPr>
        <w:t xml:space="preserve"> van verhuur van woonruimte</w:t>
      </w:r>
      <w:r w:rsidR="006B6378" w:rsidRPr="008E33DF">
        <w:rPr>
          <w:rFonts w:cs="Helvetica"/>
        </w:rPr>
        <w:t>,</w:t>
      </w:r>
      <w:r w:rsidRPr="008E33DF">
        <w:rPr>
          <w:rFonts w:cs="Helvetica"/>
        </w:rPr>
        <w:t xml:space="preserve"> dan mo</w:t>
      </w:r>
      <w:r w:rsidR="006B6378" w:rsidRPr="008E33DF">
        <w:rPr>
          <w:rFonts w:cs="Helvetica"/>
        </w:rPr>
        <w:t>et de overeenkomst voldoen aan twee kenmerken, om als</w:t>
      </w:r>
      <w:r w:rsidRPr="008E33DF">
        <w:rPr>
          <w:rFonts w:cs="Helvetica"/>
        </w:rPr>
        <w:t xml:space="preserve"> huurovereenkomst </w:t>
      </w:r>
      <w:r w:rsidR="006B6378" w:rsidRPr="008E33DF">
        <w:rPr>
          <w:rFonts w:cs="Helvetica"/>
        </w:rPr>
        <w:t>kunnen worden aangemerkt</w:t>
      </w:r>
      <w:r w:rsidRPr="008E33DF">
        <w:rPr>
          <w:rFonts w:cs="Helvetica"/>
        </w:rPr>
        <w:t>:</w:t>
      </w:r>
    </w:p>
    <w:p w:rsidR="001C189D" w:rsidRPr="008E33DF" w:rsidRDefault="001C189D" w:rsidP="001C189D">
      <w:pPr>
        <w:numPr>
          <w:ilvl w:val="0"/>
          <w:numId w:val="1"/>
        </w:numPr>
        <w:rPr>
          <w:rFonts w:cs="Helvetica"/>
        </w:rPr>
      </w:pPr>
      <w:r w:rsidRPr="008E33DF">
        <w:rPr>
          <w:rFonts w:cs="Helvetica"/>
        </w:rPr>
        <w:t>Het in gebruik verstrekken van woonruimte of een gedeelte ervan</w:t>
      </w:r>
      <w:r w:rsidR="002C3DFA" w:rsidRPr="008E33DF">
        <w:rPr>
          <w:rFonts w:cs="Helvetica"/>
        </w:rPr>
        <w:t xml:space="preserve"> door verhuurder</w:t>
      </w:r>
      <w:r w:rsidRPr="008E33DF">
        <w:rPr>
          <w:rFonts w:cs="Helvetica"/>
        </w:rPr>
        <w:t>.</w:t>
      </w:r>
    </w:p>
    <w:p w:rsidR="001C189D" w:rsidRPr="008E33DF" w:rsidRDefault="006B6378" w:rsidP="001C189D">
      <w:pPr>
        <w:rPr>
          <w:rFonts w:cs="Helvetica"/>
        </w:rPr>
      </w:pPr>
      <w:r w:rsidRPr="008E33DF">
        <w:rPr>
          <w:rFonts w:cs="Helvetica"/>
        </w:rPr>
        <w:tab/>
      </w:r>
      <w:r w:rsidR="001C189D" w:rsidRPr="008E33DF">
        <w:rPr>
          <w:rFonts w:cs="Helvetica"/>
        </w:rPr>
        <w:t xml:space="preserve">Uit het artikel blijkt dat het niet noodzakelijk is om de gehele woonruimte in gebruik te </w:t>
      </w:r>
      <w:r w:rsidRPr="008E33DF">
        <w:rPr>
          <w:rFonts w:cs="Helvetica"/>
        </w:rPr>
        <w:tab/>
      </w:r>
      <w:r w:rsidR="001C189D" w:rsidRPr="008E33DF">
        <w:rPr>
          <w:rFonts w:cs="Helvetica"/>
        </w:rPr>
        <w:t>verstrekken. Een gedeelte van de woonruimte</w:t>
      </w:r>
      <w:r w:rsidRPr="008E33DF">
        <w:rPr>
          <w:rFonts w:cs="Helvetica"/>
        </w:rPr>
        <w:t>,</w:t>
      </w:r>
      <w:r w:rsidR="001C189D" w:rsidRPr="008E33DF">
        <w:rPr>
          <w:rFonts w:cs="Helvetica"/>
        </w:rPr>
        <w:t xml:space="preserve"> zoals</w:t>
      </w:r>
      <w:r w:rsidRPr="008E33DF">
        <w:rPr>
          <w:rFonts w:cs="Helvetica"/>
        </w:rPr>
        <w:t xml:space="preserve"> het</w:t>
      </w:r>
      <w:r w:rsidR="001C189D" w:rsidRPr="008E33DF">
        <w:rPr>
          <w:rFonts w:cs="Helvetica"/>
        </w:rPr>
        <w:t xml:space="preserve"> verhuren van een kamer</w:t>
      </w:r>
      <w:r w:rsidRPr="008E33DF">
        <w:rPr>
          <w:rFonts w:cs="Helvetica"/>
        </w:rPr>
        <w:t>,</w:t>
      </w:r>
      <w:r w:rsidR="001C189D" w:rsidRPr="008E33DF">
        <w:rPr>
          <w:rFonts w:cs="Helvetica"/>
        </w:rPr>
        <w:t xml:space="preserve"> is </w:t>
      </w:r>
      <w:r w:rsidRPr="008E33DF">
        <w:rPr>
          <w:rFonts w:cs="Helvetica"/>
        </w:rPr>
        <w:tab/>
        <w:t>v</w:t>
      </w:r>
      <w:r w:rsidR="001C189D" w:rsidRPr="008E33DF">
        <w:rPr>
          <w:rFonts w:cs="Helvetica"/>
        </w:rPr>
        <w:t>oldoende.</w:t>
      </w:r>
      <w:r w:rsidRPr="008E33DF">
        <w:rPr>
          <w:rFonts w:cs="Helvetica"/>
        </w:rPr>
        <w:t xml:space="preserve"> H</w:t>
      </w:r>
      <w:r w:rsidR="001C189D" w:rsidRPr="008E33DF">
        <w:rPr>
          <w:rFonts w:cs="Helvetica"/>
        </w:rPr>
        <w:t xml:space="preserve">et gebruik van de ruimte mag ook voor bijvoorbeeld </w:t>
      </w:r>
      <w:r w:rsidRPr="008E33DF">
        <w:rPr>
          <w:rFonts w:cs="Helvetica"/>
        </w:rPr>
        <w:t>drie</w:t>
      </w:r>
      <w:r w:rsidR="001C189D" w:rsidRPr="008E33DF">
        <w:rPr>
          <w:rFonts w:cs="Helvetica"/>
        </w:rPr>
        <w:t xml:space="preserve"> dagen per week zijn</w:t>
      </w:r>
      <w:r w:rsidR="001C189D" w:rsidRPr="008E33DF">
        <w:rPr>
          <w:rFonts w:cs="Helvetica"/>
          <w:vertAlign w:val="superscript"/>
        </w:rPr>
        <w:footnoteReference w:id="4"/>
      </w:r>
      <w:r w:rsidR="001C189D" w:rsidRPr="008E33DF">
        <w:rPr>
          <w:rFonts w:cs="Helvetica"/>
        </w:rPr>
        <w:t xml:space="preserve"> of </w:t>
      </w:r>
      <w:r w:rsidRPr="008E33DF">
        <w:rPr>
          <w:rFonts w:cs="Helvetica"/>
        </w:rPr>
        <w:tab/>
        <w:t>z</w:t>
      </w:r>
      <w:r w:rsidR="001C189D" w:rsidRPr="008E33DF">
        <w:rPr>
          <w:rFonts w:cs="Helvetica"/>
        </w:rPr>
        <w:t>elfs voor een</w:t>
      </w:r>
      <w:r w:rsidR="00D4304F" w:rsidRPr="008E33DF">
        <w:rPr>
          <w:rFonts w:cs="Helvetica"/>
        </w:rPr>
        <w:t xml:space="preserve"> </w:t>
      </w:r>
      <w:r w:rsidR="001C189D" w:rsidRPr="008E33DF">
        <w:rPr>
          <w:rFonts w:cs="Helvetica"/>
        </w:rPr>
        <w:t>bepaald seizoen van het jaar</w:t>
      </w:r>
      <w:r w:rsidR="00D4304F" w:rsidRPr="008E33DF">
        <w:rPr>
          <w:rFonts w:cs="Helvetica"/>
        </w:rPr>
        <w:t>.</w:t>
      </w:r>
      <w:r w:rsidR="001C189D" w:rsidRPr="008E33DF">
        <w:rPr>
          <w:rFonts w:cs="Helvetica"/>
          <w:vertAlign w:val="superscript"/>
        </w:rPr>
        <w:footnoteReference w:id="5"/>
      </w:r>
    </w:p>
    <w:p w:rsidR="001C189D" w:rsidRPr="008E33DF" w:rsidRDefault="001C189D" w:rsidP="001C189D">
      <w:pPr>
        <w:numPr>
          <w:ilvl w:val="0"/>
          <w:numId w:val="1"/>
        </w:numPr>
        <w:rPr>
          <w:rFonts w:cs="Helvetica"/>
        </w:rPr>
      </w:pPr>
      <w:r w:rsidRPr="008E33DF">
        <w:rPr>
          <w:rFonts w:cs="Helvetica"/>
        </w:rPr>
        <w:t xml:space="preserve">Tegenprestatie van de huurder. De huurbetaling hoeft niet per se van financiële aard te zijn. Als er </w:t>
      </w:r>
      <w:r w:rsidR="00916CBB" w:rsidRPr="008E33DF">
        <w:rPr>
          <w:rFonts w:cs="Helvetica"/>
        </w:rPr>
        <w:t xml:space="preserve">een </w:t>
      </w:r>
      <w:r w:rsidRPr="008E33DF">
        <w:rPr>
          <w:rFonts w:cs="Helvetica"/>
        </w:rPr>
        <w:t>prestatie geleverd wordt teneinde de woonruimte te mogen gebruiken, mag deze prestatie bijvoorbeeld ook bestaan uit het verzorgen van de verhuurder.</w:t>
      </w:r>
      <w:r w:rsidRPr="008E33DF">
        <w:rPr>
          <w:rFonts w:cs="Helvetica"/>
          <w:vertAlign w:val="superscript"/>
        </w:rPr>
        <w:footnoteReference w:id="6"/>
      </w:r>
    </w:p>
    <w:p w:rsidR="0036332E" w:rsidRPr="008E33DF" w:rsidRDefault="0036332E" w:rsidP="001C189D">
      <w:pPr>
        <w:rPr>
          <w:rFonts w:cs="Helvetica"/>
          <w:i/>
        </w:rPr>
      </w:pPr>
    </w:p>
    <w:p w:rsidR="001C189D" w:rsidRPr="008E33DF" w:rsidRDefault="00854519" w:rsidP="007810BF">
      <w:pPr>
        <w:pStyle w:val="Kop2"/>
      </w:pPr>
      <w:bookmarkStart w:id="13" w:name="_Toc454253642"/>
      <w:r w:rsidRPr="008E33DF">
        <w:t xml:space="preserve">2.2 </w:t>
      </w:r>
      <w:r w:rsidR="001C189D" w:rsidRPr="008E33DF">
        <w:t>Huur woonruimte</w:t>
      </w:r>
      <w:bookmarkEnd w:id="13"/>
    </w:p>
    <w:p w:rsidR="001C189D" w:rsidRPr="008E33DF" w:rsidRDefault="001C189D" w:rsidP="001C189D">
      <w:pPr>
        <w:rPr>
          <w:rFonts w:cs="Helvetica"/>
        </w:rPr>
      </w:pPr>
      <w:r w:rsidRPr="008E33DF">
        <w:rPr>
          <w:rFonts w:cs="Helvetica"/>
        </w:rPr>
        <w:t xml:space="preserve">Voor de huur van woonruimte </w:t>
      </w:r>
      <w:r w:rsidR="006B6378" w:rsidRPr="008E33DF">
        <w:rPr>
          <w:rFonts w:cs="Helvetica"/>
        </w:rPr>
        <w:t xml:space="preserve">zijn ook </w:t>
      </w:r>
      <w:r w:rsidRPr="008E33DF">
        <w:rPr>
          <w:rFonts w:cs="Helvetica"/>
        </w:rPr>
        <w:t xml:space="preserve">de artikelen 7:232 </w:t>
      </w:r>
      <w:r w:rsidR="006B6378" w:rsidRPr="008E33DF">
        <w:rPr>
          <w:rFonts w:cs="Helvetica"/>
        </w:rPr>
        <w:t>t/m</w:t>
      </w:r>
      <w:r w:rsidRPr="008E33DF">
        <w:rPr>
          <w:rFonts w:cs="Helvetica"/>
        </w:rPr>
        <w:t xml:space="preserve"> 282 BW</w:t>
      </w:r>
      <w:r w:rsidR="006B6378" w:rsidRPr="008E33DF">
        <w:rPr>
          <w:rFonts w:cs="Helvetica"/>
        </w:rPr>
        <w:t xml:space="preserve"> van toepassing</w:t>
      </w:r>
      <w:r w:rsidRPr="008E33DF">
        <w:rPr>
          <w:rFonts w:cs="Helvetica"/>
        </w:rPr>
        <w:t xml:space="preserve">. </w:t>
      </w:r>
      <w:r w:rsidR="006B6378" w:rsidRPr="008E33DF">
        <w:rPr>
          <w:rFonts w:cs="Helvetica"/>
        </w:rPr>
        <w:t>N</w:t>
      </w:r>
      <w:r w:rsidRPr="008E33DF">
        <w:rPr>
          <w:rFonts w:cs="Helvetica"/>
        </w:rPr>
        <w:t>iet elk artikel</w:t>
      </w:r>
      <w:r w:rsidR="006B6378" w:rsidRPr="008E33DF">
        <w:rPr>
          <w:rFonts w:cs="Helvetica"/>
        </w:rPr>
        <w:t xml:space="preserve"> zal worden</w:t>
      </w:r>
      <w:r w:rsidRPr="008E33DF">
        <w:rPr>
          <w:rFonts w:cs="Helvetica"/>
        </w:rPr>
        <w:t xml:space="preserve"> behandel</w:t>
      </w:r>
      <w:r w:rsidR="006B6378" w:rsidRPr="008E33DF">
        <w:rPr>
          <w:rFonts w:cs="Helvetica"/>
        </w:rPr>
        <w:t>d</w:t>
      </w:r>
      <w:r w:rsidRPr="008E33DF">
        <w:rPr>
          <w:rFonts w:cs="Helvetica"/>
        </w:rPr>
        <w:t>, maar enkel de artikelen die van belang zijn voor dit onderzoek.</w:t>
      </w:r>
    </w:p>
    <w:p w:rsidR="001C189D" w:rsidRPr="008E33DF" w:rsidRDefault="006B6378" w:rsidP="001C189D">
      <w:pPr>
        <w:rPr>
          <w:rFonts w:cs="Helvetica"/>
        </w:rPr>
      </w:pPr>
      <w:r w:rsidRPr="008E33DF">
        <w:rPr>
          <w:rFonts w:cs="Helvetica"/>
        </w:rPr>
        <w:t>Om te beginnen moet duidelijk zijn</w:t>
      </w:r>
      <w:r w:rsidR="001C189D" w:rsidRPr="008E33DF">
        <w:rPr>
          <w:rFonts w:cs="Helvetica"/>
        </w:rPr>
        <w:t xml:space="preserve"> wat er wordt verstaan onder woonruimte. Art. 7:233 B</w:t>
      </w:r>
      <w:r w:rsidR="009D5400" w:rsidRPr="008E33DF">
        <w:rPr>
          <w:rFonts w:cs="Helvetica"/>
        </w:rPr>
        <w:t>W geeft de volgende definitie: "</w:t>
      </w:r>
      <w:r w:rsidR="001C189D" w:rsidRPr="008E33DF">
        <w:rPr>
          <w:rFonts w:cs="Helvetica"/>
          <w:i/>
        </w:rPr>
        <w:t>Onder woonruimte wordt verstaan een gebouwde onroerende zaak voor zover deze als zelfstandige dan wel niet zelfstandige woning is  verhuurd, dan wel een woonwagen of een standplaats, alsm</w:t>
      </w:r>
      <w:r w:rsidR="009D5400" w:rsidRPr="008E33DF">
        <w:rPr>
          <w:rFonts w:cs="Helvetica"/>
          <w:i/>
        </w:rPr>
        <w:t>ede de onroerende aanhorigheden."</w:t>
      </w:r>
    </w:p>
    <w:p w:rsidR="001C189D" w:rsidRPr="008E33DF" w:rsidRDefault="006B6378" w:rsidP="001C189D">
      <w:pPr>
        <w:rPr>
          <w:rFonts w:cs="Helvetica"/>
        </w:rPr>
      </w:pPr>
      <w:r w:rsidRPr="008E33DF">
        <w:rPr>
          <w:rFonts w:cs="Helvetica"/>
        </w:rPr>
        <w:lastRenderedPageBreak/>
        <w:t>In dit</w:t>
      </w:r>
      <w:r w:rsidR="001C189D" w:rsidRPr="008E33DF">
        <w:rPr>
          <w:rFonts w:cs="Helvetica"/>
        </w:rPr>
        <w:t xml:space="preserve"> onderzoek</w:t>
      </w:r>
      <w:r w:rsidRPr="008E33DF">
        <w:rPr>
          <w:rFonts w:cs="Helvetica"/>
        </w:rPr>
        <w:t xml:space="preserve"> wordt</w:t>
      </w:r>
      <w:r w:rsidR="001C189D" w:rsidRPr="008E33DF">
        <w:rPr>
          <w:rFonts w:cs="Helvetica"/>
        </w:rPr>
        <w:t xml:space="preserve"> niet verder ing</w:t>
      </w:r>
      <w:r w:rsidRPr="008E33DF">
        <w:rPr>
          <w:rFonts w:cs="Helvetica"/>
        </w:rPr>
        <w:t>eg</w:t>
      </w:r>
      <w:r w:rsidR="001C189D" w:rsidRPr="008E33DF">
        <w:rPr>
          <w:rFonts w:cs="Helvetica"/>
        </w:rPr>
        <w:t>aan op woonwagen</w:t>
      </w:r>
      <w:r w:rsidRPr="008E33DF">
        <w:rPr>
          <w:rFonts w:cs="Helvetica"/>
        </w:rPr>
        <w:t>s</w:t>
      </w:r>
      <w:r w:rsidR="001C189D" w:rsidRPr="008E33DF">
        <w:rPr>
          <w:rFonts w:cs="Helvetica"/>
        </w:rPr>
        <w:t xml:space="preserve"> of standplaats</w:t>
      </w:r>
      <w:r w:rsidRPr="008E33DF">
        <w:rPr>
          <w:rFonts w:cs="Helvetica"/>
        </w:rPr>
        <w:t>en.</w:t>
      </w:r>
      <w:r w:rsidR="001C189D" w:rsidRPr="008E33DF">
        <w:rPr>
          <w:rFonts w:cs="Helvetica"/>
        </w:rPr>
        <w:t xml:space="preserve"> Dit onderzoek </w:t>
      </w:r>
      <w:r w:rsidRPr="008E33DF">
        <w:rPr>
          <w:rFonts w:cs="Helvetica"/>
        </w:rPr>
        <w:t>beperkt</w:t>
      </w:r>
      <w:r w:rsidR="001C189D" w:rsidRPr="008E33DF">
        <w:rPr>
          <w:rFonts w:cs="Helvetica"/>
        </w:rPr>
        <w:t xml:space="preserve"> zich tot de verhuur van de gewone woning.</w:t>
      </w:r>
    </w:p>
    <w:p w:rsidR="001C189D" w:rsidRPr="008E33DF" w:rsidRDefault="001C189D" w:rsidP="001C189D">
      <w:pPr>
        <w:rPr>
          <w:rFonts w:cs="Helvetica"/>
        </w:rPr>
      </w:pPr>
      <w:r w:rsidRPr="008E33DF">
        <w:rPr>
          <w:rFonts w:cs="Helvetica"/>
        </w:rPr>
        <w:t>Het bovenstaande daargelaten, bevat een woonruimte de volgende kenmerken:</w:t>
      </w:r>
    </w:p>
    <w:p w:rsidR="001C189D" w:rsidRPr="008E33DF" w:rsidRDefault="001C189D" w:rsidP="001C189D">
      <w:pPr>
        <w:numPr>
          <w:ilvl w:val="0"/>
          <w:numId w:val="1"/>
        </w:numPr>
        <w:rPr>
          <w:rFonts w:cs="Helvetica"/>
        </w:rPr>
      </w:pPr>
      <w:r w:rsidRPr="008E33DF">
        <w:rPr>
          <w:rFonts w:cs="Helvetica"/>
        </w:rPr>
        <w:t>Er dient sprake te zijn van een gebouwde onroerende zaak. Een zaak is onroerend</w:t>
      </w:r>
      <w:r w:rsidR="006B6378" w:rsidRPr="008E33DF">
        <w:rPr>
          <w:rFonts w:cs="Helvetica"/>
        </w:rPr>
        <w:t>,</w:t>
      </w:r>
      <w:r w:rsidRPr="008E33DF">
        <w:rPr>
          <w:rFonts w:cs="Helvetica"/>
        </w:rPr>
        <w:t xml:space="preserve"> als deze duurzaam met de grond is verenigd. Hiervoor is niet vereist dat er een vaste verbinding is met de grond. Het is wel vereist dat het bouwwerk, zijn aard en inrichting in aanmerking genomen, bestemd is om duurzaam ter plaatse te blijven.</w:t>
      </w:r>
      <w:r w:rsidRPr="008E33DF">
        <w:rPr>
          <w:rFonts w:cs="Helvetica"/>
          <w:vertAlign w:val="superscript"/>
        </w:rPr>
        <w:footnoteReference w:id="7"/>
      </w:r>
    </w:p>
    <w:p w:rsidR="001C189D" w:rsidRPr="008E33DF" w:rsidRDefault="006B6378" w:rsidP="001C189D">
      <w:pPr>
        <w:numPr>
          <w:ilvl w:val="0"/>
          <w:numId w:val="1"/>
        </w:numPr>
        <w:rPr>
          <w:rFonts w:cs="Helvetica"/>
        </w:rPr>
      </w:pPr>
      <w:r w:rsidRPr="008E33DF">
        <w:rPr>
          <w:rFonts w:cs="Helvetica"/>
        </w:rPr>
        <w:t>D</w:t>
      </w:r>
      <w:r w:rsidR="001C189D" w:rsidRPr="008E33DF">
        <w:rPr>
          <w:rFonts w:cs="Helvetica"/>
        </w:rPr>
        <w:t>e onroerende zaak</w:t>
      </w:r>
      <w:r w:rsidRPr="008E33DF">
        <w:rPr>
          <w:rFonts w:cs="Helvetica"/>
        </w:rPr>
        <w:t xml:space="preserve"> is</w:t>
      </w:r>
      <w:r w:rsidR="001C189D" w:rsidRPr="008E33DF">
        <w:rPr>
          <w:rFonts w:cs="Helvetica"/>
        </w:rPr>
        <w:t xml:space="preserve"> bestemd als woonruimte. Het gaat hier echter niet om de bena</w:t>
      </w:r>
      <w:r w:rsidRPr="008E33DF">
        <w:rPr>
          <w:rFonts w:cs="Helvetica"/>
        </w:rPr>
        <w:t>ming van de overeenkomst. Als</w:t>
      </w:r>
      <w:r w:rsidR="001C189D" w:rsidRPr="008E33DF">
        <w:rPr>
          <w:rFonts w:cs="Helvetica"/>
        </w:rPr>
        <w:t xml:space="preserve"> een woning wordt verhuurd, maar in het contract opgenomen is dat het gaat om bedrijfsruimte, kan de rechter dit alsnog beschouwen als verhuur van woonruimte. Woonruimte wordt verstaan als de plaats waar men zijn nachtrust heeft.</w:t>
      </w:r>
      <w:r w:rsidR="007810BF" w:rsidRPr="008E33DF">
        <w:rPr>
          <w:rStyle w:val="Voetnootmarkering"/>
          <w:rFonts w:cs="Helvetica"/>
        </w:rPr>
        <w:footnoteReference w:id="8"/>
      </w:r>
    </w:p>
    <w:p w:rsidR="001C189D" w:rsidRPr="008E33DF" w:rsidRDefault="007302FD" w:rsidP="001C189D">
      <w:pPr>
        <w:numPr>
          <w:ilvl w:val="0"/>
          <w:numId w:val="1"/>
        </w:numPr>
        <w:rPr>
          <w:rFonts w:cs="Helvetica"/>
        </w:rPr>
      </w:pPr>
      <w:r w:rsidRPr="008E33DF">
        <w:rPr>
          <w:rFonts w:cs="Helvetica"/>
        </w:rPr>
        <w:t>De onroerende zaak mag zowel als zelfstandige</w:t>
      </w:r>
      <w:r w:rsidR="00916CBB" w:rsidRPr="008E33DF">
        <w:rPr>
          <w:rFonts w:cs="Helvetica"/>
        </w:rPr>
        <w:t xml:space="preserve"> als </w:t>
      </w:r>
      <w:r w:rsidRPr="008E33DF">
        <w:rPr>
          <w:rFonts w:cs="Helvetica"/>
        </w:rPr>
        <w:t xml:space="preserve">onzelfstandige </w:t>
      </w:r>
      <w:r w:rsidR="001C189D" w:rsidRPr="008E33DF">
        <w:rPr>
          <w:rFonts w:cs="Helvetica"/>
        </w:rPr>
        <w:t>woning worden verhuurd.</w:t>
      </w:r>
    </w:p>
    <w:p w:rsidR="001C189D" w:rsidRPr="008E33DF" w:rsidRDefault="006B6378" w:rsidP="001C189D">
      <w:pPr>
        <w:rPr>
          <w:rFonts w:cs="Helvetica"/>
        </w:rPr>
      </w:pPr>
      <w:r w:rsidRPr="008E33DF">
        <w:rPr>
          <w:rFonts w:cs="Helvetica"/>
        </w:rPr>
        <w:tab/>
        <w:t>Om</w:t>
      </w:r>
      <w:r w:rsidR="001C189D" w:rsidRPr="008E33DF">
        <w:rPr>
          <w:rFonts w:cs="Helvetica"/>
        </w:rPr>
        <w:t xml:space="preserve"> als zelfsta</w:t>
      </w:r>
      <w:r w:rsidR="007302FD" w:rsidRPr="008E33DF">
        <w:rPr>
          <w:rFonts w:cs="Helvetica"/>
        </w:rPr>
        <w:t>n</w:t>
      </w:r>
      <w:r w:rsidR="001C189D" w:rsidRPr="008E33DF">
        <w:rPr>
          <w:rFonts w:cs="Helvetica"/>
        </w:rPr>
        <w:t>dige woning</w:t>
      </w:r>
      <w:r w:rsidRPr="008E33DF">
        <w:rPr>
          <w:rFonts w:cs="Helvetica"/>
        </w:rPr>
        <w:t xml:space="preserve"> te</w:t>
      </w:r>
      <w:r w:rsidR="009D5400" w:rsidRPr="008E33DF">
        <w:rPr>
          <w:rFonts w:cs="Helvetica"/>
        </w:rPr>
        <w:t xml:space="preserve"> </w:t>
      </w:r>
      <w:r w:rsidR="007302FD" w:rsidRPr="008E33DF">
        <w:rPr>
          <w:rFonts w:cs="Helvetica"/>
        </w:rPr>
        <w:t>worden aangemerkt</w:t>
      </w:r>
      <w:r w:rsidR="009D5400" w:rsidRPr="008E33DF">
        <w:rPr>
          <w:rFonts w:cs="Helvetica"/>
        </w:rPr>
        <w:t xml:space="preserve"> </w:t>
      </w:r>
      <w:r w:rsidR="001C189D" w:rsidRPr="008E33DF">
        <w:rPr>
          <w:rFonts w:cs="Helvetica"/>
        </w:rPr>
        <w:t>dient</w:t>
      </w:r>
      <w:r w:rsidRPr="008E33DF">
        <w:rPr>
          <w:rFonts w:cs="Helvetica"/>
        </w:rPr>
        <w:t xml:space="preserve"> een woning</w:t>
      </w:r>
      <w:r w:rsidR="001C189D" w:rsidRPr="008E33DF">
        <w:rPr>
          <w:rFonts w:cs="Helvetica"/>
        </w:rPr>
        <w:t xml:space="preserve"> een eigen ingang te </w:t>
      </w:r>
      <w:r w:rsidRPr="008E33DF">
        <w:rPr>
          <w:rFonts w:cs="Helvetica"/>
        </w:rPr>
        <w:tab/>
      </w:r>
      <w:r w:rsidR="001C189D" w:rsidRPr="008E33DF">
        <w:rPr>
          <w:rFonts w:cs="Helvetica"/>
        </w:rPr>
        <w:t xml:space="preserve">hebben. Deze hoeft niet per se direct uit te komen op straat. Verder dient de woning </w:t>
      </w:r>
      <w:r w:rsidRPr="008E33DF">
        <w:rPr>
          <w:rFonts w:cs="Helvetica"/>
        </w:rPr>
        <w:tab/>
      </w:r>
      <w:r w:rsidR="001C189D" w:rsidRPr="008E33DF">
        <w:rPr>
          <w:rFonts w:cs="Helvetica"/>
        </w:rPr>
        <w:t>wezenlijke voorzi</w:t>
      </w:r>
      <w:r w:rsidRPr="008E33DF">
        <w:rPr>
          <w:rFonts w:cs="Helvetica"/>
        </w:rPr>
        <w:t>eningen te hebben. Hiermee worden</w:t>
      </w:r>
      <w:r w:rsidR="001C189D" w:rsidRPr="008E33DF">
        <w:rPr>
          <w:rFonts w:cs="Helvetica"/>
        </w:rPr>
        <w:t xml:space="preserve"> bedoeld; keuken, toilet en wasruimte. </w:t>
      </w:r>
      <w:r w:rsidRPr="008E33DF">
        <w:rPr>
          <w:rFonts w:cs="Helvetica"/>
        </w:rPr>
        <w:tab/>
        <w:t>Deze</w:t>
      </w:r>
      <w:r w:rsidR="001C189D" w:rsidRPr="008E33DF">
        <w:rPr>
          <w:rFonts w:cs="Helvetica"/>
        </w:rPr>
        <w:t xml:space="preserve"> moeten exclusief ten gebruike staan aan de huurder.</w:t>
      </w:r>
      <w:r w:rsidR="001C189D" w:rsidRPr="008E33DF">
        <w:rPr>
          <w:rFonts w:cs="Helvetica"/>
          <w:vertAlign w:val="superscript"/>
        </w:rPr>
        <w:footnoteReference w:id="9"/>
      </w:r>
      <w:r w:rsidR="00DA2975" w:rsidRPr="008E33DF">
        <w:rPr>
          <w:rFonts w:cs="Helvetica"/>
        </w:rPr>
        <w:t xml:space="preserve"> Er zijn enkele gevallen </w:t>
      </w:r>
      <w:r w:rsidR="001C189D" w:rsidRPr="008E33DF">
        <w:rPr>
          <w:rFonts w:cs="Helvetica"/>
        </w:rPr>
        <w:t xml:space="preserve">denkbaar </w:t>
      </w:r>
      <w:r w:rsidR="00325569" w:rsidRPr="008E33DF">
        <w:rPr>
          <w:rFonts w:cs="Helvetica"/>
        </w:rPr>
        <w:tab/>
      </w:r>
      <w:r w:rsidR="001C189D" w:rsidRPr="008E33DF">
        <w:rPr>
          <w:rFonts w:cs="Helvetica"/>
        </w:rPr>
        <w:t>waar</w:t>
      </w:r>
      <w:r w:rsidR="00325569" w:rsidRPr="008E33DF">
        <w:rPr>
          <w:rFonts w:cs="Helvetica"/>
        </w:rPr>
        <w:t>in</w:t>
      </w:r>
      <w:r w:rsidR="001C189D" w:rsidRPr="008E33DF">
        <w:rPr>
          <w:rFonts w:cs="Helvetica"/>
        </w:rPr>
        <w:t xml:space="preserve"> het belang van het onderscheid tussen een zelfstandige en</w:t>
      </w:r>
      <w:r w:rsidR="00325569" w:rsidRPr="008E33DF">
        <w:rPr>
          <w:rFonts w:cs="Helvetica"/>
        </w:rPr>
        <w:t xml:space="preserve"> een</w:t>
      </w:r>
      <w:r w:rsidR="001C189D" w:rsidRPr="008E33DF">
        <w:rPr>
          <w:rFonts w:cs="Helvetica"/>
        </w:rPr>
        <w:t xml:space="preserve"> onzelfstandige </w:t>
      </w:r>
      <w:r w:rsidR="00325569" w:rsidRPr="008E33DF">
        <w:rPr>
          <w:rFonts w:cs="Helvetica"/>
        </w:rPr>
        <w:tab/>
      </w:r>
      <w:r w:rsidR="001C189D" w:rsidRPr="008E33DF">
        <w:rPr>
          <w:rFonts w:cs="Helvetica"/>
        </w:rPr>
        <w:t>woonruimte naar voren komt. In dit onderzoek is het onderscheid echter all</w:t>
      </w:r>
      <w:r w:rsidR="007302FD" w:rsidRPr="008E33DF">
        <w:rPr>
          <w:rFonts w:cs="Helvetica"/>
        </w:rPr>
        <w:t xml:space="preserve">een van belang </w:t>
      </w:r>
      <w:r w:rsidR="00325569" w:rsidRPr="008E33DF">
        <w:rPr>
          <w:rFonts w:cs="Helvetica"/>
        </w:rPr>
        <w:tab/>
      </w:r>
      <w:r w:rsidR="007302FD" w:rsidRPr="008E33DF">
        <w:rPr>
          <w:rFonts w:cs="Helvetica"/>
        </w:rPr>
        <w:t>voor de huur</w:t>
      </w:r>
      <w:r w:rsidR="001C189D" w:rsidRPr="008E33DF">
        <w:rPr>
          <w:rFonts w:cs="Helvetica"/>
        </w:rPr>
        <w:t xml:space="preserve">bescherming. </w:t>
      </w:r>
      <w:r w:rsidR="00325569" w:rsidRPr="008E33DF">
        <w:rPr>
          <w:rFonts w:cs="Helvetica"/>
        </w:rPr>
        <w:t>B</w:t>
      </w:r>
      <w:r w:rsidR="001C189D" w:rsidRPr="008E33DF">
        <w:rPr>
          <w:rFonts w:cs="Helvetica"/>
        </w:rPr>
        <w:t xml:space="preserve">ij </w:t>
      </w:r>
      <w:r w:rsidR="007302FD" w:rsidRPr="008E33DF">
        <w:rPr>
          <w:rFonts w:cs="Helvetica"/>
        </w:rPr>
        <w:t xml:space="preserve">het bespreken van de opzegging </w:t>
      </w:r>
      <w:r w:rsidR="001C189D" w:rsidRPr="008E33DF">
        <w:rPr>
          <w:rFonts w:cs="Helvetica"/>
        </w:rPr>
        <w:t>van huur van woonruimte</w:t>
      </w:r>
      <w:r w:rsidR="00325569" w:rsidRPr="008E33DF">
        <w:rPr>
          <w:rFonts w:cs="Helvetica"/>
        </w:rPr>
        <w:t xml:space="preserve"> komt </w:t>
      </w:r>
      <w:r w:rsidR="00325569" w:rsidRPr="008E33DF">
        <w:rPr>
          <w:rFonts w:cs="Helvetica"/>
        </w:rPr>
        <w:tab/>
        <w:t>dit aan bod</w:t>
      </w:r>
      <w:r w:rsidR="001C189D" w:rsidRPr="008E33DF">
        <w:rPr>
          <w:rFonts w:cs="Helvetica"/>
        </w:rPr>
        <w:t>.</w:t>
      </w:r>
    </w:p>
    <w:p w:rsidR="007302FD" w:rsidRPr="008E33DF" w:rsidRDefault="007302FD" w:rsidP="001C189D">
      <w:pPr>
        <w:rPr>
          <w:rFonts w:cs="Helvetica"/>
          <w:b/>
          <w:color w:val="548DD4" w:themeColor="text2" w:themeTint="99"/>
        </w:rPr>
      </w:pPr>
    </w:p>
    <w:p w:rsidR="001C189D" w:rsidRPr="008E33DF" w:rsidRDefault="00854519" w:rsidP="007810BF">
      <w:pPr>
        <w:pStyle w:val="Kop2"/>
      </w:pPr>
      <w:bookmarkStart w:id="14" w:name="_Toc454253643"/>
      <w:r w:rsidRPr="008E33DF">
        <w:t>2.3 Einde huurovereenkomst</w:t>
      </w:r>
      <w:r w:rsidR="009D5400" w:rsidRPr="008E33DF">
        <w:t>:</w:t>
      </w:r>
      <w:r w:rsidR="009B1867" w:rsidRPr="008E33DF">
        <w:t xml:space="preserve"> w</w:t>
      </w:r>
      <w:r w:rsidR="00B8153C" w:rsidRPr="008E33DF">
        <w:t>ederzijds goedvinden</w:t>
      </w:r>
      <w:bookmarkEnd w:id="14"/>
    </w:p>
    <w:p w:rsidR="001C189D" w:rsidRPr="008E33DF" w:rsidRDefault="00325569" w:rsidP="001C189D">
      <w:pPr>
        <w:rPr>
          <w:rFonts w:cs="Helvetica"/>
        </w:rPr>
      </w:pPr>
      <w:r w:rsidRPr="008E33DF">
        <w:rPr>
          <w:rFonts w:cs="Helvetica"/>
        </w:rPr>
        <w:t>E</w:t>
      </w:r>
      <w:r w:rsidR="001C189D" w:rsidRPr="008E33DF">
        <w:rPr>
          <w:rFonts w:cs="Helvetica"/>
        </w:rPr>
        <w:t xml:space="preserve">en overeenkomst </w:t>
      </w:r>
      <w:r w:rsidRPr="008E33DF">
        <w:rPr>
          <w:rFonts w:cs="Helvetica"/>
        </w:rPr>
        <w:t>kan e</w:t>
      </w:r>
      <w:r w:rsidR="001C189D" w:rsidRPr="008E33DF">
        <w:rPr>
          <w:rFonts w:cs="Helvetica"/>
        </w:rPr>
        <w:t>indigen met wederzijds goedvinden (art. 7:271 lid 8 BW). De verhuurder en de huurder mogen met elkaar overeenkomen dat de huurovereenkomst op een bepaald moment</w:t>
      </w:r>
      <w:r w:rsidRPr="008E33DF">
        <w:rPr>
          <w:rFonts w:cs="Helvetica"/>
        </w:rPr>
        <w:t xml:space="preserve"> wordt beëindigd</w:t>
      </w:r>
      <w:r w:rsidR="001C189D" w:rsidRPr="008E33DF">
        <w:rPr>
          <w:rFonts w:cs="Helvetica"/>
        </w:rPr>
        <w:t xml:space="preserve"> zonder opzegtermijnen in acht te nemen. Dit mag echter niet alvorens worden bedongen in de huurovereenkomst of de daarbij horende huurvoorwaarden. Een dergelijk beding is op grond van art. 7:271 lid 7 BW nietig.</w:t>
      </w:r>
    </w:p>
    <w:p w:rsidR="001C189D" w:rsidRPr="008E33DF" w:rsidRDefault="001C189D" w:rsidP="001C189D">
      <w:pPr>
        <w:rPr>
          <w:rFonts w:cs="Helvetica"/>
        </w:rPr>
      </w:pPr>
    </w:p>
    <w:p w:rsidR="001C189D" w:rsidRPr="008E33DF" w:rsidRDefault="00B8153C" w:rsidP="007810BF">
      <w:pPr>
        <w:pStyle w:val="Kop2"/>
      </w:pPr>
      <w:bookmarkStart w:id="15" w:name="_Toc454253644"/>
      <w:r w:rsidRPr="008E33DF">
        <w:t>2.4</w:t>
      </w:r>
      <w:r w:rsidR="00D4304F" w:rsidRPr="008E33DF">
        <w:t xml:space="preserve"> </w:t>
      </w:r>
      <w:r w:rsidR="009D5400" w:rsidRPr="008E33DF">
        <w:t>Einde huurovereenkomst:</w:t>
      </w:r>
      <w:r w:rsidR="009B1867" w:rsidRPr="008E33DF">
        <w:t xml:space="preserve"> o</w:t>
      </w:r>
      <w:r w:rsidR="001C189D" w:rsidRPr="008E33DF">
        <w:t>pzegging</w:t>
      </w:r>
      <w:bookmarkEnd w:id="15"/>
    </w:p>
    <w:p w:rsidR="001C189D" w:rsidRPr="008E33DF" w:rsidRDefault="00325569" w:rsidP="001C189D">
      <w:pPr>
        <w:rPr>
          <w:rFonts w:cs="Helvetica"/>
        </w:rPr>
      </w:pPr>
      <w:r w:rsidRPr="008E33DF">
        <w:rPr>
          <w:rFonts w:cs="Helvetica"/>
        </w:rPr>
        <w:t>De ar</w:t>
      </w:r>
      <w:r w:rsidR="001C189D" w:rsidRPr="008E33DF">
        <w:rPr>
          <w:rFonts w:cs="Helvetica"/>
        </w:rPr>
        <w:t xml:space="preserve">tikelen 7:271 </w:t>
      </w:r>
      <w:r w:rsidRPr="008E33DF">
        <w:rPr>
          <w:rFonts w:cs="Helvetica"/>
        </w:rPr>
        <w:t>t/m</w:t>
      </w:r>
      <w:r w:rsidR="001C189D" w:rsidRPr="008E33DF">
        <w:rPr>
          <w:rFonts w:cs="Helvetica"/>
        </w:rPr>
        <w:t xml:space="preserve"> 282 BW regelen de opzegging van huur van woonruimte. Iedere huurovereenkomst van woonruimte, ongeacht</w:t>
      </w:r>
      <w:r w:rsidRPr="008E33DF">
        <w:rPr>
          <w:rFonts w:cs="Helvetica"/>
        </w:rPr>
        <w:t xml:space="preserve"> of deze is</w:t>
      </w:r>
      <w:r w:rsidR="001C189D" w:rsidRPr="008E33DF">
        <w:rPr>
          <w:rFonts w:cs="Helvetica"/>
        </w:rPr>
        <w:t xml:space="preserve"> aangegaan voor bepaalde of onbepaalde tijd, moet worden opgezegd</w:t>
      </w:r>
      <w:r w:rsidR="007C6635" w:rsidRPr="008E33DF">
        <w:rPr>
          <w:rFonts w:cs="Helvetica"/>
        </w:rPr>
        <w:t xml:space="preserve"> (art. 7:271 lid 1 BW)</w:t>
      </w:r>
      <w:r w:rsidR="00854519" w:rsidRPr="008E33DF">
        <w:rPr>
          <w:rFonts w:cs="Helvetica"/>
        </w:rPr>
        <w:t>.</w:t>
      </w:r>
      <w:r w:rsidR="001C189D" w:rsidRPr="008E33DF">
        <w:rPr>
          <w:rFonts w:cs="Helvetica"/>
        </w:rPr>
        <w:t xml:space="preserve"> De opzegging dient per aangetekende brief of bij een deurwaardersexploot worden gedaan. Dit geldt</w:t>
      </w:r>
      <w:r w:rsidR="007302FD" w:rsidRPr="008E33DF">
        <w:rPr>
          <w:rFonts w:cs="Helvetica"/>
        </w:rPr>
        <w:t xml:space="preserve"> zowel</w:t>
      </w:r>
      <w:r w:rsidR="001C189D" w:rsidRPr="008E33DF">
        <w:rPr>
          <w:rFonts w:cs="Helvetica"/>
        </w:rPr>
        <w:t xml:space="preserve"> voor de v</w:t>
      </w:r>
      <w:r w:rsidR="00854519" w:rsidRPr="008E33DF">
        <w:rPr>
          <w:rFonts w:cs="Helvetica"/>
        </w:rPr>
        <w:t>erhuur</w:t>
      </w:r>
      <w:r w:rsidR="007302FD" w:rsidRPr="008E33DF">
        <w:rPr>
          <w:rFonts w:cs="Helvetica"/>
        </w:rPr>
        <w:t>der als</w:t>
      </w:r>
      <w:r w:rsidRPr="008E33DF">
        <w:rPr>
          <w:rFonts w:cs="Helvetica"/>
        </w:rPr>
        <w:t xml:space="preserve"> de</w:t>
      </w:r>
      <w:r w:rsidR="00854519" w:rsidRPr="008E33DF">
        <w:rPr>
          <w:rFonts w:cs="Helvetica"/>
        </w:rPr>
        <w:t xml:space="preserve"> huurder</w:t>
      </w:r>
      <w:r w:rsidR="007C6635" w:rsidRPr="008E33DF">
        <w:rPr>
          <w:rFonts w:cs="Helvetica"/>
        </w:rPr>
        <w:t xml:space="preserve"> (art. 7:271 lid 3 BW)</w:t>
      </w:r>
      <w:r w:rsidR="00854519" w:rsidRPr="008E33DF">
        <w:rPr>
          <w:rFonts w:cs="Helvetica"/>
        </w:rPr>
        <w:t>.</w:t>
      </w:r>
      <w:r w:rsidR="009D5400" w:rsidRPr="008E33DF">
        <w:rPr>
          <w:rFonts w:cs="Helvetica"/>
        </w:rPr>
        <w:t xml:space="preserve"> </w:t>
      </w:r>
      <w:r w:rsidR="001C189D" w:rsidRPr="008E33DF">
        <w:rPr>
          <w:rFonts w:cs="Helvetica"/>
        </w:rPr>
        <w:t xml:space="preserve">De verhuurder dient bij de opzegging in </w:t>
      </w:r>
      <w:r w:rsidRPr="008E33DF">
        <w:rPr>
          <w:rFonts w:cs="Helvetica"/>
        </w:rPr>
        <w:t>de</w:t>
      </w:r>
      <w:r w:rsidR="001C189D" w:rsidRPr="008E33DF">
        <w:rPr>
          <w:rFonts w:cs="Helvetica"/>
        </w:rPr>
        <w:t xml:space="preserve"> brief een opzeggingsgrond </w:t>
      </w:r>
      <w:r w:rsidRPr="008E33DF">
        <w:rPr>
          <w:rFonts w:cs="Helvetica"/>
        </w:rPr>
        <w:t>op te nemen</w:t>
      </w:r>
      <w:r w:rsidR="001C189D" w:rsidRPr="008E33DF">
        <w:rPr>
          <w:rFonts w:cs="Helvetica"/>
        </w:rPr>
        <w:t xml:space="preserve"> z</w:t>
      </w:r>
      <w:r w:rsidR="007C6635" w:rsidRPr="008E33DF">
        <w:rPr>
          <w:rFonts w:cs="Helvetica"/>
        </w:rPr>
        <w:t>oals vermeld in art. 7:274 lid 4</w:t>
      </w:r>
      <w:r w:rsidR="00B15D5D" w:rsidRPr="008E33DF">
        <w:rPr>
          <w:rFonts w:cs="Helvetica"/>
        </w:rPr>
        <w:t xml:space="preserve"> BW</w:t>
      </w:r>
      <w:r w:rsidR="001C189D" w:rsidRPr="008E33DF">
        <w:rPr>
          <w:rFonts w:cs="Helvetica"/>
        </w:rPr>
        <w:t>. Een opzegging zonder een vermelding van een van deze opzeggingsgronden is nietig.</w:t>
      </w:r>
      <w:r w:rsidR="00D4304F" w:rsidRPr="008E33DF">
        <w:rPr>
          <w:rFonts w:cs="Helvetica"/>
        </w:rPr>
        <w:t xml:space="preserve"> </w:t>
      </w:r>
      <w:r w:rsidR="001C189D" w:rsidRPr="008E33DF">
        <w:rPr>
          <w:rFonts w:cs="Helvetica"/>
        </w:rPr>
        <w:t xml:space="preserve">Verder </w:t>
      </w:r>
      <w:r w:rsidRPr="008E33DF">
        <w:rPr>
          <w:rFonts w:cs="Helvetica"/>
        </w:rPr>
        <w:t>dient de verhuurder</w:t>
      </w:r>
      <w:r w:rsidR="001C189D" w:rsidRPr="008E33DF">
        <w:rPr>
          <w:rFonts w:cs="Helvetica"/>
        </w:rPr>
        <w:t xml:space="preserve"> de huurder</w:t>
      </w:r>
      <w:r w:rsidRPr="008E33DF">
        <w:rPr>
          <w:rFonts w:cs="Helvetica"/>
        </w:rPr>
        <w:t xml:space="preserve"> te verzoeken</w:t>
      </w:r>
      <w:r w:rsidR="001C189D" w:rsidRPr="008E33DF">
        <w:rPr>
          <w:rFonts w:cs="Helvetica"/>
        </w:rPr>
        <w:t xml:space="preserve"> om binnen </w:t>
      </w:r>
      <w:r w:rsidRPr="008E33DF">
        <w:rPr>
          <w:rFonts w:cs="Helvetica"/>
        </w:rPr>
        <w:t>zes</w:t>
      </w:r>
      <w:r w:rsidR="001C189D" w:rsidRPr="008E33DF">
        <w:rPr>
          <w:rFonts w:cs="Helvetica"/>
        </w:rPr>
        <w:t xml:space="preserve"> weken </w:t>
      </w:r>
      <w:r w:rsidRPr="008E33DF">
        <w:rPr>
          <w:rFonts w:cs="Helvetica"/>
        </w:rPr>
        <w:t xml:space="preserve">mee </w:t>
      </w:r>
      <w:r w:rsidR="001C189D" w:rsidRPr="008E33DF">
        <w:rPr>
          <w:rFonts w:cs="Helvetica"/>
        </w:rPr>
        <w:t>te delen of hij instemt met de opzegging. Als de huurder instemt met de opzegging</w:t>
      </w:r>
      <w:r w:rsidRPr="008E33DF">
        <w:rPr>
          <w:rFonts w:cs="Helvetica"/>
        </w:rPr>
        <w:t>,</w:t>
      </w:r>
      <w:r w:rsidR="001C189D" w:rsidRPr="008E33DF">
        <w:rPr>
          <w:rFonts w:cs="Helvetica"/>
        </w:rPr>
        <w:t xml:space="preserve"> kan de huurovereenkomst beëindigd worden zonder een rechterlijke procedure. Als de huurder niet </w:t>
      </w:r>
      <w:r w:rsidR="001C189D" w:rsidRPr="008E33DF">
        <w:rPr>
          <w:rFonts w:cs="Helvetica"/>
        </w:rPr>
        <w:lastRenderedPageBreak/>
        <w:t>instemt of niet r</w:t>
      </w:r>
      <w:r w:rsidR="007302FD" w:rsidRPr="008E33DF">
        <w:rPr>
          <w:rFonts w:cs="Helvetica"/>
        </w:rPr>
        <w:t>eageert, dient de verhuurder</w:t>
      </w:r>
      <w:r w:rsidR="001C189D" w:rsidRPr="008E33DF">
        <w:rPr>
          <w:rFonts w:cs="Helvetica"/>
        </w:rPr>
        <w:t xml:space="preserve"> de rechtbank te verzoeken om de huurovereenkomst te beëindigen </w:t>
      </w:r>
      <w:r w:rsidRPr="008E33DF">
        <w:rPr>
          <w:rFonts w:cs="Helvetica"/>
        </w:rPr>
        <w:t>op</w:t>
      </w:r>
      <w:r w:rsidR="001C189D" w:rsidRPr="008E33DF">
        <w:rPr>
          <w:rFonts w:cs="Helvetica"/>
        </w:rPr>
        <w:t xml:space="preserve"> dezelfde gronden </w:t>
      </w:r>
      <w:r w:rsidRPr="008E33DF">
        <w:rPr>
          <w:rFonts w:cs="Helvetica"/>
        </w:rPr>
        <w:t>als die</w:t>
      </w:r>
      <w:r w:rsidR="001C189D" w:rsidRPr="008E33DF">
        <w:rPr>
          <w:rFonts w:cs="Helvetica"/>
        </w:rPr>
        <w:t xml:space="preserve"> hij heeft genoemd in zijn brief</w:t>
      </w:r>
      <w:r w:rsidR="007C6635" w:rsidRPr="008E33DF">
        <w:rPr>
          <w:rFonts w:cs="Helvetica"/>
        </w:rPr>
        <w:t xml:space="preserve"> (art. 7:271 lid 4 BW jo. art. 7:272 BW)</w:t>
      </w:r>
      <w:r w:rsidR="001C189D" w:rsidRPr="008E33DF">
        <w:rPr>
          <w:rFonts w:cs="Helvetica"/>
        </w:rPr>
        <w:t>.</w:t>
      </w:r>
    </w:p>
    <w:p w:rsidR="001C189D" w:rsidRPr="008E33DF" w:rsidRDefault="001C189D" w:rsidP="001C189D">
      <w:pPr>
        <w:rPr>
          <w:rFonts w:cs="Helvetica"/>
          <w:i/>
        </w:rPr>
      </w:pPr>
    </w:p>
    <w:p w:rsidR="001C189D" w:rsidRPr="008E33DF" w:rsidRDefault="00B8153C" w:rsidP="007C6635">
      <w:pPr>
        <w:pStyle w:val="Kop3"/>
      </w:pPr>
      <w:bookmarkStart w:id="16" w:name="_Toc454253645"/>
      <w:r w:rsidRPr="008E33DF">
        <w:t xml:space="preserve">2.4.1 </w:t>
      </w:r>
      <w:r w:rsidR="001C189D" w:rsidRPr="008E33DF">
        <w:t>Opzeggingsgronde</w:t>
      </w:r>
      <w:r w:rsidR="00FF10FE" w:rsidRPr="008E33DF">
        <w:t>n</w:t>
      </w:r>
      <w:r w:rsidR="00FF10FE" w:rsidRPr="008E33DF">
        <w:rPr>
          <w:rStyle w:val="Voetnootmarkering"/>
          <w:rFonts w:cs="Helvetica"/>
          <w:b w:val="0"/>
        </w:rPr>
        <w:footnoteReference w:id="10"/>
      </w:r>
      <w:bookmarkEnd w:id="16"/>
    </w:p>
    <w:p w:rsidR="001C189D" w:rsidRPr="008E33DF" w:rsidRDefault="001C189D" w:rsidP="001C189D">
      <w:pPr>
        <w:rPr>
          <w:rFonts w:cs="Helvetica"/>
        </w:rPr>
      </w:pPr>
      <w:r w:rsidRPr="008E33DF">
        <w:rPr>
          <w:rFonts w:cs="Helvetica"/>
        </w:rPr>
        <w:t>De opzeggingsgronden</w:t>
      </w:r>
      <w:r w:rsidR="00325569" w:rsidRPr="008E33DF">
        <w:rPr>
          <w:rFonts w:cs="Helvetica"/>
        </w:rPr>
        <w:t xml:space="preserve"> voor een huurovereenkomst</w:t>
      </w:r>
      <w:r w:rsidR="00D4304F" w:rsidRPr="008E33DF">
        <w:rPr>
          <w:rFonts w:cs="Helvetica"/>
        </w:rPr>
        <w:t xml:space="preserve"> </w:t>
      </w:r>
      <w:r w:rsidR="00325569" w:rsidRPr="008E33DF">
        <w:rPr>
          <w:rFonts w:cs="Helvetica"/>
        </w:rPr>
        <w:t>in</w:t>
      </w:r>
      <w:r w:rsidRPr="008E33DF">
        <w:rPr>
          <w:rFonts w:cs="Helvetica"/>
        </w:rPr>
        <w:t xml:space="preserve"> art. 7:274</w:t>
      </w:r>
      <w:r w:rsidR="000D7510" w:rsidRPr="008E33DF">
        <w:rPr>
          <w:rFonts w:cs="Helvetica"/>
        </w:rPr>
        <w:t xml:space="preserve"> BW zijn limitatief en imperatief,wat wil zeggen dat</w:t>
      </w:r>
      <w:r w:rsidRPr="008E33DF">
        <w:rPr>
          <w:rFonts w:cs="Helvetica"/>
        </w:rPr>
        <w:t xml:space="preserve"> opzegging alleen mogelijk is met de</w:t>
      </w:r>
      <w:r w:rsidR="007C6635" w:rsidRPr="008E33DF">
        <w:rPr>
          <w:rFonts w:cs="Helvetica"/>
        </w:rPr>
        <w:t xml:space="preserve"> vermelding van</w:t>
      </w:r>
      <w:r w:rsidRPr="008E33DF">
        <w:rPr>
          <w:rFonts w:cs="Helvetica"/>
        </w:rPr>
        <w:t xml:space="preserve"> de opzeggingsgronden. Als d</w:t>
      </w:r>
      <w:r w:rsidR="007302FD" w:rsidRPr="008E33DF">
        <w:rPr>
          <w:rFonts w:cs="Helvetica"/>
        </w:rPr>
        <w:t>e rechter heeft vastgesteld dat</w:t>
      </w:r>
      <w:r w:rsidRPr="008E33DF">
        <w:rPr>
          <w:rFonts w:cs="Helvetica"/>
        </w:rPr>
        <w:t xml:space="preserve"> een van die gronden aanwezig is, zal hij de opzegging ook moeten toewijzen.</w:t>
      </w:r>
      <w:r w:rsidRPr="008E33DF">
        <w:rPr>
          <w:rFonts w:cs="Helvetica"/>
          <w:vertAlign w:val="superscript"/>
        </w:rPr>
        <w:footnoteReference w:id="11"/>
      </w:r>
    </w:p>
    <w:p w:rsidR="000B5D69" w:rsidRPr="008E33DF" w:rsidRDefault="000B5D69" w:rsidP="006C6476">
      <w:pPr>
        <w:rPr>
          <w:rFonts w:cs="Helvetica"/>
        </w:rPr>
      </w:pPr>
    </w:p>
    <w:p w:rsidR="000B5D69" w:rsidRPr="008E33DF" w:rsidRDefault="006C6476" w:rsidP="006C6476">
      <w:pPr>
        <w:rPr>
          <w:rFonts w:cs="Helvetica"/>
        </w:rPr>
      </w:pPr>
      <w:r w:rsidRPr="008E33DF">
        <w:rPr>
          <w:rFonts w:cs="Helvetica"/>
        </w:rPr>
        <w:t>De opzeggingsgronden</w:t>
      </w:r>
      <w:r w:rsidR="000D7510" w:rsidRPr="008E33DF">
        <w:rPr>
          <w:rFonts w:cs="Helvetica"/>
        </w:rPr>
        <w:t>,</w:t>
      </w:r>
      <w:r w:rsidRPr="008E33DF">
        <w:rPr>
          <w:rFonts w:cs="Helvetica"/>
        </w:rPr>
        <w:t xml:space="preserve"> zoals opgenomen in art. 7:274</w:t>
      </w:r>
      <w:r w:rsidR="00B8153C" w:rsidRPr="008E33DF">
        <w:rPr>
          <w:rFonts w:cs="Helvetica"/>
        </w:rPr>
        <w:t xml:space="preserve"> BW</w:t>
      </w:r>
      <w:r w:rsidR="000D7510" w:rsidRPr="008E33DF">
        <w:rPr>
          <w:rFonts w:cs="Helvetica"/>
        </w:rPr>
        <w:t xml:space="preserve"> zijn</w:t>
      </w:r>
      <w:r w:rsidRPr="008E33DF">
        <w:rPr>
          <w:rFonts w:cs="Helvetica"/>
        </w:rPr>
        <w:t>:</w:t>
      </w:r>
    </w:p>
    <w:p w:rsidR="006C6476" w:rsidRPr="008E33DF" w:rsidRDefault="006C6476" w:rsidP="006C6476">
      <w:pPr>
        <w:numPr>
          <w:ilvl w:val="0"/>
          <w:numId w:val="1"/>
        </w:numPr>
        <w:rPr>
          <w:rFonts w:cs="Helvetica"/>
        </w:rPr>
      </w:pPr>
      <w:r w:rsidRPr="008E33DF">
        <w:rPr>
          <w:rFonts w:cs="Helvetica"/>
          <w:b/>
        </w:rPr>
        <w:t>De huurder gedraagt zich niet als een goed huurder betaamt</w:t>
      </w:r>
      <w:r w:rsidRPr="008E33DF">
        <w:rPr>
          <w:rFonts w:cs="Helvetica"/>
        </w:rPr>
        <w:t xml:space="preserve"> (art. 7:274 lid 1 onderdeel a</w:t>
      </w:r>
      <w:r w:rsidR="00C701FF" w:rsidRPr="008E33DF">
        <w:rPr>
          <w:rFonts w:cs="Helvetica"/>
        </w:rPr>
        <w:t xml:space="preserve"> BW</w:t>
      </w:r>
      <w:r w:rsidRPr="008E33DF">
        <w:rPr>
          <w:rFonts w:cs="Helvetica"/>
        </w:rPr>
        <w:t xml:space="preserve">): </w:t>
      </w:r>
    </w:p>
    <w:p w:rsidR="006C6476" w:rsidRPr="008E33DF" w:rsidRDefault="000D7510" w:rsidP="006C6476">
      <w:pPr>
        <w:rPr>
          <w:rFonts w:cs="Helvetica"/>
        </w:rPr>
      </w:pPr>
      <w:r w:rsidRPr="008E33DF">
        <w:rPr>
          <w:rFonts w:cs="Helvetica"/>
        </w:rPr>
        <w:tab/>
      </w:r>
      <w:r w:rsidR="006C6476" w:rsidRPr="008E33DF">
        <w:rPr>
          <w:rFonts w:cs="Helvetica"/>
        </w:rPr>
        <w:t xml:space="preserve">In dit geval handelt de huurder in </w:t>
      </w:r>
      <w:r w:rsidRPr="008E33DF">
        <w:rPr>
          <w:rFonts w:cs="Helvetica"/>
        </w:rPr>
        <w:t>strijd met de artikelen 7:213</w:t>
      </w:r>
      <w:r w:rsidR="006C6476" w:rsidRPr="008E33DF">
        <w:rPr>
          <w:rFonts w:cs="Helvetica"/>
        </w:rPr>
        <w:t xml:space="preserve"> en 7:214 BW. </w:t>
      </w:r>
      <w:r w:rsidR="00276F4C" w:rsidRPr="008E33DF">
        <w:rPr>
          <w:rFonts w:cs="Helvetica"/>
        </w:rPr>
        <w:t xml:space="preserve">Deze artikelen </w:t>
      </w:r>
      <w:r w:rsidRPr="008E33DF">
        <w:rPr>
          <w:rFonts w:cs="Helvetica"/>
        </w:rPr>
        <w:tab/>
      </w:r>
      <w:r w:rsidR="00276F4C" w:rsidRPr="008E33DF">
        <w:rPr>
          <w:rFonts w:cs="Helvetica"/>
        </w:rPr>
        <w:t>houden in</w:t>
      </w:r>
      <w:r w:rsidR="006C6476" w:rsidRPr="008E33DF">
        <w:rPr>
          <w:rFonts w:cs="Helvetica"/>
        </w:rPr>
        <w:t xml:space="preserve"> dat de huurder </w:t>
      </w:r>
      <w:r w:rsidR="007302FD" w:rsidRPr="008E33DF">
        <w:rPr>
          <w:rFonts w:cs="Helvetica"/>
        </w:rPr>
        <w:t xml:space="preserve">zich </w:t>
      </w:r>
      <w:r w:rsidR="006C6476" w:rsidRPr="008E33DF">
        <w:rPr>
          <w:rFonts w:cs="Helvetica"/>
        </w:rPr>
        <w:t xml:space="preserve">als een goed huurder </w:t>
      </w:r>
      <w:r w:rsidR="007302FD" w:rsidRPr="008E33DF">
        <w:rPr>
          <w:rFonts w:cs="Helvetica"/>
        </w:rPr>
        <w:t>moet gedragen ten aanzien van de</w:t>
      </w:r>
      <w:r w:rsidRPr="008E33DF">
        <w:rPr>
          <w:rFonts w:cs="Helvetica"/>
        </w:rPr>
        <w:tab/>
      </w:r>
      <w:r w:rsidR="006C6476" w:rsidRPr="008E33DF">
        <w:rPr>
          <w:rFonts w:cs="Helvetica"/>
        </w:rPr>
        <w:t>gehuurde zaak. Het kan</w:t>
      </w:r>
      <w:r w:rsidRPr="008E33DF">
        <w:rPr>
          <w:rFonts w:cs="Helvetica"/>
        </w:rPr>
        <w:t xml:space="preserve"> bijvoorbeeld</w:t>
      </w:r>
      <w:r w:rsidR="006C6476" w:rsidRPr="008E33DF">
        <w:rPr>
          <w:rFonts w:cs="Helvetica"/>
        </w:rPr>
        <w:t xml:space="preserve"> gaan om wanbetaling, overlast, onbehoorlijk gebruik van </w:t>
      </w:r>
      <w:r w:rsidRPr="008E33DF">
        <w:rPr>
          <w:rFonts w:cs="Helvetica"/>
        </w:rPr>
        <w:tab/>
      </w:r>
      <w:r w:rsidR="006C6476" w:rsidRPr="008E33DF">
        <w:rPr>
          <w:rFonts w:cs="Helvetica"/>
        </w:rPr>
        <w:t>het gehuurde of schending van een bepaling uit de huurovereenkomst.</w:t>
      </w:r>
    </w:p>
    <w:p w:rsidR="006C6476" w:rsidRPr="008E33DF" w:rsidRDefault="006C6476" w:rsidP="00C83955">
      <w:pPr>
        <w:numPr>
          <w:ilvl w:val="0"/>
          <w:numId w:val="1"/>
        </w:numPr>
        <w:rPr>
          <w:rFonts w:cs="Helvetica"/>
        </w:rPr>
      </w:pPr>
      <w:r w:rsidRPr="008E33DF">
        <w:rPr>
          <w:rFonts w:cs="Helvetica"/>
          <w:b/>
        </w:rPr>
        <w:t>Diplomaten clausule</w:t>
      </w:r>
      <w:r w:rsidRPr="008E33DF">
        <w:rPr>
          <w:rFonts w:cs="Helvetica"/>
        </w:rPr>
        <w:t xml:space="preserve"> (art. 7:274 lid 1 onderdeel b en lid 2</w:t>
      </w:r>
      <w:r w:rsidR="00E516CC" w:rsidRPr="008E33DF">
        <w:rPr>
          <w:rFonts w:cs="Helvetica"/>
        </w:rPr>
        <w:t xml:space="preserve"> BW</w:t>
      </w:r>
      <w:r w:rsidRPr="008E33DF">
        <w:rPr>
          <w:rFonts w:cs="Helvetica"/>
        </w:rPr>
        <w:t>)</w:t>
      </w:r>
      <w:r w:rsidR="000B5D69" w:rsidRPr="008E33DF">
        <w:rPr>
          <w:rFonts w:cs="Helvetica"/>
        </w:rPr>
        <w:t>:</w:t>
      </w:r>
    </w:p>
    <w:p w:rsidR="006C6476" w:rsidRPr="008E33DF" w:rsidRDefault="00DA24F1" w:rsidP="006C6476">
      <w:pPr>
        <w:rPr>
          <w:rFonts w:cs="Helvetica"/>
        </w:rPr>
      </w:pPr>
      <w:r w:rsidRPr="008E33DF">
        <w:rPr>
          <w:rFonts w:cs="Helvetica"/>
        </w:rPr>
        <w:tab/>
      </w:r>
      <w:r w:rsidR="00B406C4" w:rsidRPr="008E33DF">
        <w:rPr>
          <w:rFonts w:cs="Helvetica"/>
        </w:rPr>
        <w:t>Hierbij</w:t>
      </w:r>
      <w:r w:rsidR="006C6476" w:rsidRPr="008E33DF">
        <w:rPr>
          <w:rFonts w:cs="Helvetica"/>
        </w:rPr>
        <w:t xml:space="preserve"> is sprake van huurovereenkomst </w:t>
      </w:r>
      <w:r w:rsidRPr="008E33DF">
        <w:rPr>
          <w:rFonts w:cs="Helvetica"/>
        </w:rPr>
        <w:t>voor</w:t>
      </w:r>
      <w:r w:rsidR="006C6476" w:rsidRPr="008E33DF">
        <w:rPr>
          <w:rFonts w:cs="Helvetica"/>
        </w:rPr>
        <w:t xml:space="preserve"> bepaalde tijd waarin is bedongen dat de </w:t>
      </w:r>
      <w:r w:rsidRPr="008E33DF">
        <w:rPr>
          <w:rFonts w:cs="Helvetica"/>
        </w:rPr>
        <w:tab/>
      </w:r>
      <w:r w:rsidR="006C6476" w:rsidRPr="008E33DF">
        <w:rPr>
          <w:rFonts w:cs="Helvetica"/>
        </w:rPr>
        <w:t>gehuurde woonruimte zal worden</w:t>
      </w:r>
      <w:r w:rsidR="007302FD" w:rsidRPr="008E33DF">
        <w:rPr>
          <w:rFonts w:cs="Helvetica"/>
        </w:rPr>
        <w:t xml:space="preserve"> ontruimd na het aflopen van de</w:t>
      </w:r>
      <w:r w:rsidR="006C6476" w:rsidRPr="008E33DF">
        <w:rPr>
          <w:rFonts w:cs="Helvetica"/>
        </w:rPr>
        <w:t xml:space="preserve"> overeengekomen termijn. </w:t>
      </w:r>
      <w:r w:rsidRPr="008E33DF">
        <w:rPr>
          <w:rFonts w:cs="Helvetica"/>
        </w:rPr>
        <w:tab/>
      </w:r>
      <w:r w:rsidR="006C6476" w:rsidRPr="008E33DF">
        <w:rPr>
          <w:rFonts w:cs="Helvetica"/>
        </w:rPr>
        <w:t>Van deze cons</w:t>
      </w:r>
      <w:r w:rsidR="007302FD" w:rsidRPr="008E33DF">
        <w:rPr>
          <w:rFonts w:cs="Helvetica"/>
        </w:rPr>
        <w:t>tructie mag men in de volgende drie</w:t>
      </w:r>
      <w:r w:rsidR="006C6476" w:rsidRPr="008E33DF">
        <w:rPr>
          <w:rFonts w:cs="Helvetica"/>
        </w:rPr>
        <w:t xml:space="preserve"> specifieke gevallen gebruikmaken:</w:t>
      </w:r>
    </w:p>
    <w:p w:rsidR="006C6476" w:rsidRPr="008E33DF" w:rsidRDefault="006C6476" w:rsidP="00C83955">
      <w:pPr>
        <w:numPr>
          <w:ilvl w:val="1"/>
          <w:numId w:val="1"/>
        </w:numPr>
        <w:rPr>
          <w:rFonts w:cs="Helvetica"/>
        </w:rPr>
      </w:pPr>
      <w:r w:rsidRPr="008E33DF">
        <w:rPr>
          <w:rFonts w:cs="Helvetica"/>
        </w:rPr>
        <w:t>Als de verhuurder de woning zelf nog niet heeft bewoond, noch aan een ander heeft verhuurd en aan het einde van de huurperiode de woning zelf wil bewonen.</w:t>
      </w:r>
    </w:p>
    <w:p w:rsidR="006C6476" w:rsidRPr="008E33DF" w:rsidRDefault="006C6476" w:rsidP="006C6476">
      <w:pPr>
        <w:numPr>
          <w:ilvl w:val="1"/>
          <w:numId w:val="1"/>
        </w:numPr>
        <w:rPr>
          <w:rFonts w:cs="Helvetica"/>
        </w:rPr>
      </w:pPr>
      <w:r w:rsidRPr="008E33DF">
        <w:rPr>
          <w:rFonts w:cs="Helvetica"/>
        </w:rPr>
        <w:t>Als de verhuurder de woning zelf</w:t>
      </w:r>
      <w:r w:rsidR="00DA24F1" w:rsidRPr="008E33DF">
        <w:rPr>
          <w:rFonts w:cs="Helvetica"/>
        </w:rPr>
        <w:t xml:space="preserve"> heeft</w:t>
      </w:r>
      <w:r w:rsidRPr="008E33DF">
        <w:rPr>
          <w:rFonts w:cs="Helvetica"/>
        </w:rPr>
        <w:t xml:space="preserve"> bewoond en na afloop van de huurperiode de woning weer zelf wil bewonen</w:t>
      </w:r>
      <w:r w:rsidR="007302FD" w:rsidRPr="008E33DF">
        <w:rPr>
          <w:rFonts w:cs="Helvetica"/>
        </w:rPr>
        <w:t>.</w:t>
      </w:r>
    </w:p>
    <w:p w:rsidR="006C6476" w:rsidRPr="008E33DF" w:rsidRDefault="006C6476" w:rsidP="006C6476">
      <w:pPr>
        <w:numPr>
          <w:ilvl w:val="1"/>
          <w:numId w:val="1"/>
        </w:numPr>
        <w:rPr>
          <w:rFonts w:cs="Helvetica"/>
        </w:rPr>
      </w:pPr>
      <w:r w:rsidRPr="008E33DF">
        <w:rPr>
          <w:rFonts w:cs="Helvetica"/>
        </w:rPr>
        <w:t>Als de verhuurder bedingt dat de vorige huurder de woning weer zal bewonen</w:t>
      </w:r>
      <w:r w:rsidR="00D4304F" w:rsidRPr="008E33DF">
        <w:rPr>
          <w:rFonts w:cs="Helvetica"/>
        </w:rPr>
        <w:t xml:space="preserve"> </w:t>
      </w:r>
      <w:r w:rsidR="00DA24F1" w:rsidRPr="008E33DF">
        <w:rPr>
          <w:rFonts w:cs="Helvetica"/>
        </w:rPr>
        <w:t>na afloop van de huurperiode</w:t>
      </w:r>
      <w:r w:rsidRPr="008E33DF">
        <w:rPr>
          <w:rFonts w:cs="Helvetica"/>
        </w:rPr>
        <w:t>.</w:t>
      </w:r>
    </w:p>
    <w:p w:rsidR="006C6476" w:rsidRPr="008E33DF" w:rsidRDefault="00DA24F1" w:rsidP="006C6476">
      <w:pPr>
        <w:rPr>
          <w:rFonts w:cs="Helvetica"/>
        </w:rPr>
      </w:pPr>
      <w:r w:rsidRPr="008E33DF">
        <w:rPr>
          <w:rFonts w:cs="Helvetica"/>
        </w:rPr>
        <w:tab/>
      </w:r>
      <w:r w:rsidR="006C6476" w:rsidRPr="008E33DF">
        <w:rPr>
          <w:rFonts w:cs="Helvetica"/>
        </w:rPr>
        <w:t>Ook</w:t>
      </w:r>
      <w:r w:rsidRPr="008E33DF">
        <w:rPr>
          <w:rFonts w:cs="Helvetica"/>
        </w:rPr>
        <w:t xml:space="preserve"> in</w:t>
      </w:r>
      <w:r w:rsidR="00D4304F" w:rsidRPr="008E33DF">
        <w:rPr>
          <w:rFonts w:cs="Helvetica"/>
        </w:rPr>
        <w:t xml:space="preserve"> </w:t>
      </w:r>
      <w:r w:rsidRPr="008E33DF">
        <w:rPr>
          <w:rFonts w:cs="Helvetica"/>
        </w:rPr>
        <w:t>het</w:t>
      </w:r>
      <w:r w:rsidR="006C6476" w:rsidRPr="008E33DF">
        <w:rPr>
          <w:rFonts w:cs="Helvetica"/>
        </w:rPr>
        <w:t xml:space="preserve"> geval</w:t>
      </w:r>
      <w:r w:rsidRPr="008E33DF">
        <w:rPr>
          <w:rFonts w:cs="Helvetica"/>
        </w:rPr>
        <w:t xml:space="preserve"> van deze opzeggingsgrond </w:t>
      </w:r>
      <w:r w:rsidR="006C6476" w:rsidRPr="008E33DF">
        <w:rPr>
          <w:rFonts w:cs="Helvetica"/>
        </w:rPr>
        <w:t xml:space="preserve"> moet de verhuurder vooralsnog opzeggen</w:t>
      </w:r>
      <w:r w:rsidR="007302FD" w:rsidRPr="008E33DF">
        <w:rPr>
          <w:rFonts w:cs="Helvetica"/>
        </w:rPr>
        <w:t xml:space="preserve">. Als </w:t>
      </w:r>
      <w:r w:rsidRPr="008E33DF">
        <w:rPr>
          <w:rFonts w:cs="Helvetica"/>
        </w:rPr>
        <w:tab/>
      </w:r>
      <w:r w:rsidR="007302FD" w:rsidRPr="008E33DF">
        <w:rPr>
          <w:rFonts w:cs="Helvetica"/>
        </w:rPr>
        <w:t xml:space="preserve">de huurder niet instemt met de opzegging, wordt de huurovereenkomst pas beëindigd na de </w:t>
      </w:r>
      <w:r w:rsidRPr="008E33DF">
        <w:rPr>
          <w:rFonts w:cs="Helvetica"/>
        </w:rPr>
        <w:tab/>
      </w:r>
      <w:r w:rsidR="007302FD" w:rsidRPr="008E33DF">
        <w:rPr>
          <w:rFonts w:cs="Helvetica"/>
        </w:rPr>
        <w:t>onherroepelijke beslissing van de rechter.</w:t>
      </w:r>
    </w:p>
    <w:p w:rsidR="006C6476" w:rsidRPr="008E33DF" w:rsidRDefault="006C6476" w:rsidP="00C83955">
      <w:pPr>
        <w:pStyle w:val="Lijstalinea"/>
        <w:numPr>
          <w:ilvl w:val="0"/>
          <w:numId w:val="1"/>
        </w:numPr>
        <w:rPr>
          <w:rFonts w:cs="Helvetica"/>
        </w:rPr>
      </w:pPr>
      <w:r w:rsidRPr="008E33DF">
        <w:rPr>
          <w:rFonts w:cs="Helvetica"/>
          <w:b/>
        </w:rPr>
        <w:t>Dringend eigen gebruik</w:t>
      </w:r>
      <w:r w:rsidR="00E516CC" w:rsidRPr="008E33DF">
        <w:rPr>
          <w:rFonts w:cs="Helvetica"/>
        </w:rPr>
        <w:t xml:space="preserve"> (art. 7:274 lid 1 onderdeel c en de leden 3, 4 en 5 BW)</w:t>
      </w:r>
      <w:r w:rsidR="000B5D69" w:rsidRPr="008E33DF">
        <w:rPr>
          <w:rFonts w:cs="Helvetica"/>
        </w:rPr>
        <w:t>:</w:t>
      </w:r>
    </w:p>
    <w:p w:rsidR="006C6476" w:rsidRPr="008E33DF" w:rsidRDefault="00DA24F1" w:rsidP="006C6476">
      <w:pPr>
        <w:rPr>
          <w:rFonts w:cs="Helvetica"/>
        </w:rPr>
      </w:pPr>
      <w:r w:rsidRPr="008E33DF">
        <w:rPr>
          <w:rFonts w:cs="Helvetica"/>
        </w:rPr>
        <w:tab/>
      </w:r>
      <w:r w:rsidR="006C6476" w:rsidRPr="008E33DF">
        <w:rPr>
          <w:rFonts w:cs="Helvetica"/>
        </w:rPr>
        <w:t>Deze opzeggingsgrond</w:t>
      </w:r>
      <w:r w:rsidR="007302FD" w:rsidRPr="008E33DF">
        <w:rPr>
          <w:rFonts w:cs="Helvetica"/>
        </w:rPr>
        <w:t xml:space="preserve"> wordt het meest gebruikt in de</w:t>
      </w:r>
      <w:r w:rsidR="006C6476" w:rsidRPr="008E33DF">
        <w:rPr>
          <w:rFonts w:cs="Helvetica"/>
        </w:rPr>
        <w:t xml:space="preserve"> praktijk. Dit</w:t>
      </w:r>
      <w:r w:rsidRPr="008E33DF">
        <w:rPr>
          <w:rFonts w:cs="Helvetica"/>
        </w:rPr>
        <w:t xml:space="preserve"> komt</w:t>
      </w:r>
      <w:r w:rsidR="006C6476" w:rsidRPr="008E33DF">
        <w:rPr>
          <w:rFonts w:cs="Helvetica"/>
        </w:rPr>
        <w:t xml:space="preserve"> vooral </w:t>
      </w:r>
      <w:r w:rsidRPr="008E33DF">
        <w:rPr>
          <w:rFonts w:cs="Helvetica"/>
        </w:rPr>
        <w:t>door</w:t>
      </w:r>
      <w:r w:rsidR="006C6476" w:rsidRPr="008E33DF">
        <w:rPr>
          <w:rFonts w:cs="Helvetica"/>
        </w:rPr>
        <w:t xml:space="preserve">dat de </w:t>
      </w:r>
      <w:r w:rsidRPr="008E33DF">
        <w:rPr>
          <w:rFonts w:cs="Helvetica"/>
        </w:rPr>
        <w:tab/>
      </w:r>
      <w:r w:rsidR="006C6476" w:rsidRPr="008E33DF">
        <w:rPr>
          <w:rFonts w:cs="Helvetica"/>
        </w:rPr>
        <w:t>rechtspraak het beg</w:t>
      </w:r>
      <w:r w:rsidR="007302FD" w:rsidRPr="008E33DF">
        <w:rPr>
          <w:rFonts w:cs="Helvetica"/>
        </w:rPr>
        <w:t>rip “gebruik” ruim uitlegt. Aan</w:t>
      </w:r>
      <w:r w:rsidR="006C6476" w:rsidRPr="008E33DF">
        <w:rPr>
          <w:rFonts w:cs="Helvetica"/>
        </w:rPr>
        <w:t xml:space="preserve"> deze opzeggingsgrond zijn e</w:t>
      </w:r>
      <w:r w:rsidR="007302FD" w:rsidRPr="008E33DF">
        <w:rPr>
          <w:rFonts w:cs="Helvetica"/>
        </w:rPr>
        <w:t xml:space="preserve">nkele wettelijke </w:t>
      </w:r>
      <w:r w:rsidR="00C83955" w:rsidRPr="008E33DF">
        <w:rPr>
          <w:rFonts w:cs="Helvetica"/>
        </w:rPr>
        <w:tab/>
      </w:r>
      <w:r w:rsidR="007302FD" w:rsidRPr="008E33DF">
        <w:rPr>
          <w:rFonts w:cs="Helvetica"/>
        </w:rPr>
        <w:t>voorwaarden</w:t>
      </w:r>
      <w:r w:rsidR="006C6476" w:rsidRPr="008E33DF">
        <w:rPr>
          <w:rFonts w:cs="Helvetica"/>
        </w:rPr>
        <w:t xml:space="preserve"> verbonden:</w:t>
      </w:r>
    </w:p>
    <w:p w:rsidR="006C6476" w:rsidRPr="008E33DF" w:rsidRDefault="006C6476" w:rsidP="006C6476">
      <w:pPr>
        <w:numPr>
          <w:ilvl w:val="1"/>
          <w:numId w:val="1"/>
        </w:numPr>
        <w:rPr>
          <w:rFonts w:cs="Helvetica"/>
        </w:rPr>
      </w:pPr>
      <w:r w:rsidRPr="008E33DF">
        <w:rPr>
          <w:rFonts w:cs="Helvetica"/>
        </w:rPr>
        <w:t xml:space="preserve">Een verhuurder die opzegt op grond van dringend eigen </w:t>
      </w:r>
      <w:r w:rsidR="00512206" w:rsidRPr="008E33DF">
        <w:rPr>
          <w:rFonts w:cs="Helvetica"/>
        </w:rPr>
        <w:t>gebruik moet de dringendheid hiervan aannemelijk maken</w:t>
      </w:r>
      <w:r w:rsidRPr="008E33DF">
        <w:rPr>
          <w:rFonts w:cs="Helvetica"/>
        </w:rPr>
        <w:t>. Lastenverlichting kan een vorm van dringendheid zijn, maar hoeft niet altijd aangenomen</w:t>
      </w:r>
      <w:r w:rsidR="00512206" w:rsidRPr="008E33DF">
        <w:rPr>
          <w:rFonts w:cs="Helvetica"/>
        </w:rPr>
        <w:t xml:space="preserve"> te</w:t>
      </w:r>
      <w:r w:rsidRPr="008E33DF">
        <w:rPr>
          <w:rFonts w:cs="Helvetica"/>
        </w:rPr>
        <w:t xml:space="preserve"> worden door de rechter.</w:t>
      </w:r>
      <w:r w:rsidR="000B5D69" w:rsidRPr="008E33DF">
        <w:rPr>
          <w:rStyle w:val="Voetnootmarkering"/>
          <w:rFonts w:cs="Helvetica"/>
        </w:rPr>
        <w:footnoteReference w:id="12"/>
      </w:r>
    </w:p>
    <w:p w:rsidR="006C6476" w:rsidRPr="008E33DF" w:rsidRDefault="006C6476" w:rsidP="00C83955">
      <w:pPr>
        <w:numPr>
          <w:ilvl w:val="1"/>
          <w:numId w:val="1"/>
        </w:numPr>
        <w:rPr>
          <w:rFonts w:cs="Helvetica"/>
        </w:rPr>
      </w:pPr>
      <w:r w:rsidRPr="008E33DF">
        <w:rPr>
          <w:rFonts w:cs="Helvetica"/>
        </w:rPr>
        <w:lastRenderedPageBreak/>
        <w:t xml:space="preserve">De rechter zal de belangen afwegen en </w:t>
      </w:r>
      <w:r w:rsidR="00512206" w:rsidRPr="008E33DF">
        <w:rPr>
          <w:rFonts w:cs="Helvetica"/>
        </w:rPr>
        <w:t xml:space="preserve">deze </w:t>
      </w:r>
      <w:r w:rsidRPr="008E33DF">
        <w:rPr>
          <w:rFonts w:cs="Helvetica"/>
        </w:rPr>
        <w:t>afweging moet in het voordeel van de verhuurder uitvallen. De verhuurder moet aannemelijk maken dat hij het verhuurder</w:t>
      </w:r>
      <w:r w:rsidR="00512206" w:rsidRPr="008E33DF">
        <w:rPr>
          <w:rFonts w:cs="Helvetica"/>
        </w:rPr>
        <w:t>de</w:t>
      </w:r>
      <w:r w:rsidRPr="008E33DF">
        <w:rPr>
          <w:rFonts w:cs="Helvetica"/>
        </w:rPr>
        <w:t xml:space="preserve"> zo dringend nodig heeft voor eigen gebruik, dat</w:t>
      </w:r>
      <w:r w:rsidR="00C83955" w:rsidRPr="008E33DF">
        <w:rPr>
          <w:rFonts w:cs="Helvetica"/>
        </w:rPr>
        <w:t xml:space="preserve"> van hem - na</w:t>
      </w:r>
      <w:r w:rsidR="00512206" w:rsidRPr="008E33DF">
        <w:rPr>
          <w:rFonts w:cs="Helvetica"/>
        </w:rPr>
        <w:t xml:space="preserve"> belangenafweging</w:t>
      </w:r>
      <w:r w:rsidRPr="008E33DF">
        <w:rPr>
          <w:rFonts w:cs="Helvetica"/>
        </w:rPr>
        <w:t xml:space="preserve"> van beide partijen en van onderhuurders naar bi</w:t>
      </w:r>
      <w:r w:rsidR="00C83955" w:rsidRPr="008E33DF">
        <w:rPr>
          <w:rFonts w:cs="Helvetica"/>
        </w:rPr>
        <w:t>llijkheid in aanmerking genomen -</w:t>
      </w:r>
      <w:r w:rsidRPr="008E33DF">
        <w:rPr>
          <w:rFonts w:cs="Helvetica"/>
        </w:rPr>
        <w:t xml:space="preserve"> niet kan worden gevergd dat de huurovereenkomst wordt verlengd.</w:t>
      </w:r>
      <w:r w:rsidR="000B5D69" w:rsidRPr="008E33DF">
        <w:rPr>
          <w:rStyle w:val="Voetnootmarkering"/>
          <w:rFonts w:cs="Helvetica"/>
        </w:rPr>
        <w:footnoteReference w:id="13"/>
      </w:r>
    </w:p>
    <w:p w:rsidR="000B5D69" w:rsidRPr="008E33DF" w:rsidRDefault="006C6476" w:rsidP="00C83955">
      <w:pPr>
        <w:pStyle w:val="Voetnoottekst"/>
        <w:numPr>
          <w:ilvl w:val="1"/>
          <w:numId w:val="1"/>
        </w:numPr>
        <w:spacing w:line="360" w:lineRule="auto"/>
        <w:rPr>
          <w:sz w:val="16"/>
          <w:szCs w:val="16"/>
        </w:rPr>
      </w:pPr>
      <w:r w:rsidRPr="008E33DF">
        <w:rPr>
          <w:rFonts w:cs="Helvetica"/>
        </w:rPr>
        <w:t>Ook een vereiste is dat de verhuurder aannemelijk moet maken dat de huurder andere passe</w:t>
      </w:r>
      <w:r w:rsidR="00C83955" w:rsidRPr="008E33DF">
        <w:rPr>
          <w:rFonts w:cs="Helvetica"/>
        </w:rPr>
        <w:t>nde woonruimte kan krijgen. Dit</w:t>
      </w:r>
      <w:r w:rsidRPr="008E33DF">
        <w:rPr>
          <w:rFonts w:cs="Helvetica"/>
        </w:rPr>
        <w:t xml:space="preserve"> vereiste geldt niet voor de student als huurder</w:t>
      </w:r>
      <w:r w:rsidR="00B107E0" w:rsidRPr="008E33DF">
        <w:rPr>
          <w:rFonts w:cs="Helvetica"/>
        </w:rPr>
        <w:t xml:space="preserve"> (</w:t>
      </w:r>
      <w:r w:rsidR="00B107E0" w:rsidRPr="008E33DF">
        <w:t>art. 7:274 lid 1 onderdeel c BW)</w:t>
      </w:r>
      <w:r w:rsidRPr="008E33DF">
        <w:rPr>
          <w:rFonts w:cs="Helvetica"/>
        </w:rPr>
        <w:t>.</w:t>
      </w:r>
      <w:r w:rsidR="00FD52E5" w:rsidRPr="008E33DF">
        <w:rPr>
          <w:rStyle w:val="Voetnootmarkering"/>
          <w:rFonts w:cs="Helvetica"/>
        </w:rPr>
        <w:footnoteReference w:id="14"/>
      </w:r>
    </w:p>
    <w:p w:rsidR="000B5D69" w:rsidRPr="008E33DF" w:rsidRDefault="000B5D69" w:rsidP="00C83955">
      <w:pPr>
        <w:ind w:left="1440"/>
        <w:rPr>
          <w:rFonts w:cs="Helvetica"/>
        </w:rPr>
      </w:pPr>
    </w:p>
    <w:p w:rsidR="000B5D69" w:rsidRPr="008E33DF" w:rsidRDefault="006C6476" w:rsidP="00C83955">
      <w:pPr>
        <w:rPr>
          <w:rFonts w:cs="Helvetica"/>
        </w:rPr>
      </w:pPr>
      <w:r w:rsidRPr="008E33DF">
        <w:rPr>
          <w:rFonts w:cs="Helvetica"/>
        </w:rPr>
        <w:t xml:space="preserve">Onder eigen gebruik wordt niet alleen </w:t>
      </w:r>
      <w:r w:rsidR="00512206" w:rsidRPr="008E33DF">
        <w:rPr>
          <w:rFonts w:cs="Helvetica"/>
        </w:rPr>
        <w:t xml:space="preserve">verstaan </w:t>
      </w:r>
      <w:r w:rsidRPr="008E33DF">
        <w:rPr>
          <w:rFonts w:cs="Helvetica"/>
        </w:rPr>
        <w:t>dat de verhuurder de woning zelf wil</w:t>
      </w:r>
      <w:r w:rsidR="00C83955" w:rsidRPr="008E33DF">
        <w:rPr>
          <w:rFonts w:cs="Helvetica"/>
        </w:rPr>
        <w:t xml:space="preserve"> bewonen; ook in de volgende </w:t>
      </w:r>
      <w:r w:rsidRPr="008E33DF">
        <w:rPr>
          <w:rFonts w:cs="Helvetica"/>
        </w:rPr>
        <w:t xml:space="preserve">gevallen </w:t>
      </w:r>
      <w:r w:rsidR="00C83955" w:rsidRPr="008E33DF">
        <w:rPr>
          <w:rFonts w:cs="Helvetica"/>
        </w:rPr>
        <w:t>worden</w:t>
      </w:r>
      <w:r w:rsidR="00512206" w:rsidRPr="008E33DF">
        <w:rPr>
          <w:rFonts w:cs="Helvetica"/>
        </w:rPr>
        <w:t xml:space="preserve"> onder </w:t>
      </w:r>
      <w:r w:rsidRPr="008E33DF">
        <w:rPr>
          <w:rFonts w:cs="Helvetica"/>
        </w:rPr>
        <w:t>eigen gebruik</w:t>
      </w:r>
      <w:r w:rsidR="00512206" w:rsidRPr="008E33DF">
        <w:rPr>
          <w:rFonts w:cs="Helvetica"/>
        </w:rPr>
        <w:t xml:space="preserve"> verstaan</w:t>
      </w:r>
      <w:r w:rsidRPr="008E33DF">
        <w:rPr>
          <w:rFonts w:cs="Helvetica"/>
        </w:rPr>
        <w:t>:</w:t>
      </w:r>
    </w:p>
    <w:p w:rsidR="006C6476" w:rsidRPr="008E33DF" w:rsidRDefault="006C6476" w:rsidP="00C83955">
      <w:pPr>
        <w:numPr>
          <w:ilvl w:val="1"/>
          <w:numId w:val="1"/>
        </w:numPr>
        <w:rPr>
          <w:rFonts w:cs="Helvetica"/>
        </w:rPr>
      </w:pPr>
      <w:r w:rsidRPr="008E33DF">
        <w:rPr>
          <w:rFonts w:cs="Helvetica"/>
        </w:rPr>
        <w:t>Renovatie van een woning die zonder beëindiging van de huur niet mogelijk is</w:t>
      </w:r>
      <w:r w:rsidR="00B107E0" w:rsidRPr="008E33DF">
        <w:rPr>
          <w:rFonts w:cs="Helvetica"/>
        </w:rPr>
        <w:t xml:space="preserve"> (art. 7:274 lid 3 sub a BW)</w:t>
      </w:r>
      <w:r w:rsidR="00512206" w:rsidRPr="008E33DF">
        <w:rPr>
          <w:rFonts w:cs="Helvetica"/>
        </w:rPr>
        <w:t>.</w:t>
      </w:r>
    </w:p>
    <w:p w:rsidR="006C6476" w:rsidRPr="008E33DF" w:rsidRDefault="006C6476" w:rsidP="006C6476">
      <w:pPr>
        <w:numPr>
          <w:ilvl w:val="1"/>
          <w:numId w:val="1"/>
        </w:numPr>
        <w:rPr>
          <w:rFonts w:cs="Helvetica"/>
        </w:rPr>
      </w:pPr>
      <w:r w:rsidRPr="008E33DF">
        <w:rPr>
          <w:rFonts w:cs="Helvetica"/>
        </w:rPr>
        <w:t xml:space="preserve">Het verstrekken van de woning aan </w:t>
      </w:r>
      <w:r w:rsidR="00512206" w:rsidRPr="008E33DF">
        <w:rPr>
          <w:rFonts w:cs="Helvetica"/>
        </w:rPr>
        <w:t>een</w:t>
      </w:r>
      <w:r w:rsidR="00C83955" w:rsidRPr="008E33DF">
        <w:rPr>
          <w:rFonts w:cs="Helvetica"/>
        </w:rPr>
        <w:t xml:space="preserve"> lichamelijk</w:t>
      </w:r>
      <w:r w:rsidR="00512206" w:rsidRPr="008E33DF">
        <w:rPr>
          <w:rFonts w:cs="Helvetica"/>
        </w:rPr>
        <w:t xml:space="preserve"> gehandicapte. Hierbij geldt wel</w:t>
      </w:r>
      <w:r w:rsidRPr="008E33DF">
        <w:rPr>
          <w:rFonts w:cs="Helvetica"/>
        </w:rPr>
        <w:t xml:space="preserve"> de voorwaarde</w:t>
      </w:r>
      <w:r w:rsidR="00C83955" w:rsidRPr="008E33DF">
        <w:rPr>
          <w:rFonts w:cs="Helvetica"/>
        </w:rPr>
        <w:t>,</w:t>
      </w:r>
      <w:r w:rsidRPr="008E33DF">
        <w:rPr>
          <w:rFonts w:cs="Helvetica"/>
        </w:rPr>
        <w:t xml:space="preserve"> dat de woning bij de bouw</w:t>
      </w:r>
      <w:r w:rsidR="00C83955" w:rsidRPr="008E33DF">
        <w:rPr>
          <w:rFonts w:cs="Helvetica"/>
        </w:rPr>
        <w:t xml:space="preserve"> is</w:t>
      </w:r>
      <w:r w:rsidRPr="008E33DF">
        <w:rPr>
          <w:rFonts w:cs="Helvetica"/>
        </w:rPr>
        <w:t xml:space="preserve"> ingericht en bestemd voor bewoning door een gehandicapte. Of</w:t>
      </w:r>
      <w:r w:rsidR="00C83955" w:rsidRPr="008E33DF">
        <w:rPr>
          <w:rFonts w:cs="Helvetica"/>
        </w:rPr>
        <w:t xml:space="preserve"> er moet sprake van zijn,</w:t>
      </w:r>
      <w:r w:rsidR="00512206" w:rsidRPr="008E33DF">
        <w:rPr>
          <w:rFonts w:cs="Helvetica"/>
        </w:rPr>
        <w:t xml:space="preserve"> dat </w:t>
      </w:r>
      <w:r w:rsidRPr="008E33DF">
        <w:rPr>
          <w:rFonts w:cs="Helvetica"/>
        </w:rPr>
        <w:t xml:space="preserve">na de bouw met geldelijke steun op grond van </w:t>
      </w:r>
      <w:r w:rsidR="00C83955" w:rsidRPr="008E33DF">
        <w:rPr>
          <w:rFonts w:cs="Helvetica"/>
        </w:rPr>
        <w:t>een</w:t>
      </w:r>
      <w:r w:rsidRPr="008E33DF">
        <w:rPr>
          <w:rFonts w:cs="Helvetica"/>
        </w:rPr>
        <w:t xml:space="preserve"> wettelijke regeling </w:t>
      </w:r>
      <w:r w:rsidR="00512206" w:rsidRPr="008E33DF">
        <w:rPr>
          <w:rFonts w:cs="Helvetica"/>
        </w:rPr>
        <w:t>de woning is aangepast</w:t>
      </w:r>
      <w:r w:rsidRPr="008E33DF">
        <w:rPr>
          <w:rFonts w:cs="Helvetica"/>
        </w:rPr>
        <w:t xml:space="preserve"> ten behoeve van bewoning door een gehandicapte</w:t>
      </w:r>
      <w:r w:rsidR="00B107E0" w:rsidRPr="008E33DF">
        <w:rPr>
          <w:rFonts w:cs="Helvetica"/>
        </w:rPr>
        <w:t xml:space="preserve"> (art. 7:274 lid 3 sub b BW)</w:t>
      </w:r>
      <w:r w:rsidRPr="008E33DF">
        <w:rPr>
          <w:rFonts w:cs="Helvetica"/>
        </w:rPr>
        <w:t>.</w:t>
      </w:r>
    </w:p>
    <w:p w:rsidR="006C6476" w:rsidRPr="008E33DF" w:rsidRDefault="006C6476" w:rsidP="006C6476">
      <w:pPr>
        <w:numPr>
          <w:ilvl w:val="1"/>
          <w:numId w:val="1"/>
        </w:numPr>
        <w:rPr>
          <w:rFonts w:cs="Helvetica"/>
        </w:rPr>
      </w:pPr>
      <w:r w:rsidRPr="008E33DF">
        <w:rPr>
          <w:rFonts w:cs="Helvetica"/>
        </w:rPr>
        <w:t>Het verstrekken va</w:t>
      </w:r>
      <w:r w:rsidR="00C83955" w:rsidRPr="008E33DF">
        <w:rPr>
          <w:rFonts w:cs="Helvetica"/>
        </w:rPr>
        <w:t>n een zelfstandige woning, die</w:t>
      </w:r>
      <w:r w:rsidRPr="008E33DF">
        <w:rPr>
          <w:rFonts w:cs="Helvetica"/>
        </w:rPr>
        <w:t xml:space="preserve"> onderdeel uitmaakt van een complex,aan een oudere. Hierbij is de voorwaarde</w:t>
      </w:r>
      <w:r w:rsidR="00512206" w:rsidRPr="008E33DF">
        <w:rPr>
          <w:rFonts w:cs="Helvetica"/>
        </w:rPr>
        <w:t xml:space="preserve"> dat</w:t>
      </w:r>
      <w:r w:rsidR="00C83955" w:rsidRPr="008E33DF">
        <w:rPr>
          <w:rFonts w:cs="Helvetica"/>
        </w:rPr>
        <w:t xml:space="preserve"> het complex bij de bouw</w:t>
      </w:r>
      <w:r w:rsidR="00D4304F" w:rsidRPr="008E33DF">
        <w:rPr>
          <w:rFonts w:cs="Helvetica"/>
        </w:rPr>
        <w:t xml:space="preserve"> </w:t>
      </w:r>
      <w:r w:rsidRPr="008E33DF">
        <w:rPr>
          <w:rFonts w:cs="Helvetica"/>
        </w:rPr>
        <w:t>is ingeri</w:t>
      </w:r>
      <w:r w:rsidR="00512206" w:rsidRPr="008E33DF">
        <w:rPr>
          <w:rFonts w:cs="Helvetica"/>
        </w:rPr>
        <w:t>cht en bestemd voor bewoning door</w:t>
      </w:r>
      <w:r w:rsidRPr="008E33DF">
        <w:rPr>
          <w:rFonts w:cs="Helvetica"/>
        </w:rPr>
        <w:t xml:space="preserve"> ouderen</w:t>
      </w:r>
      <w:r w:rsidR="00B107E0" w:rsidRPr="008E33DF">
        <w:rPr>
          <w:rFonts w:cs="Helvetica"/>
        </w:rPr>
        <w:t xml:space="preserve"> (art. 7:274 lid 3 sub c BW)</w:t>
      </w:r>
      <w:r w:rsidRPr="008E33DF">
        <w:rPr>
          <w:rFonts w:cs="Helvetica"/>
        </w:rPr>
        <w:t>.</w:t>
      </w:r>
    </w:p>
    <w:p w:rsidR="006C6476" w:rsidRPr="008E33DF" w:rsidRDefault="006C6476" w:rsidP="006C6476">
      <w:pPr>
        <w:numPr>
          <w:ilvl w:val="1"/>
          <w:numId w:val="1"/>
        </w:numPr>
        <w:rPr>
          <w:rFonts w:cs="Helvetica"/>
        </w:rPr>
      </w:pPr>
      <w:r w:rsidRPr="008E33DF">
        <w:rPr>
          <w:rFonts w:cs="Helvetica"/>
        </w:rPr>
        <w:t xml:space="preserve">Het verstrekken van een woning aan een student. Hierbij moet wel uit het contract blijken dat het </w:t>
      </w:r>
      <w:r w:rsidR="00C75AB3" w:rsidRPr="008E33DF">
        <w:rPr>
          <w:rFonts w:cs="Helvetica"/>
        </w:rPr>
        <w:t xml:space="preserve">om een huurovereenkomst </w:t>
      </w:r>
      <w:r w:rsidRPr="008E33DF">
        <w:rPr>
          <w:rFonts w:cs="Helvetica"/>
        </w:rPr>
        <w:t xml:space="preserve">gaat </w:t>
      </w:r>
      <w:r w:rsidR="00C75AB3" w:rsidRPr="008E33DF">
        <w:rPr>
          <w:rFonts w:cs="Helvetica"/>
        </w:rPr>
        <w:t xml:space="preserve">waarbij het verhuurde </w:t>
      </w:r>
      <w:r w:rsidRPr="008E33DF">
        <w:rPr>
          <w:rFonts w:cs="Helvetica"/>
        </w:rPr>
        <w:t>bestemd is voor een student</w:t>
      </w:r>
      <w:r w:rsidR="00C75AB3" w:rsidRPr="008E33DF">
        <w:rPr>
          <w:rFonts w:cs="Helvetica"/>
        </w:rPr>
        <w:t>. Daarnaast moet in het contract worden</w:t>
      </w:r>
      <w:r w:rsidRPr="008E33DF">
        <w:rPr>
          <w:rFonts w:cs="Helvetica"/>
        </w:rPr>
        <w:t xml:space="preserve"> bedongen dat na afloop van de overeenkomst de ruimte opnieuw zal worden verhuurd aan een student</w:t>
      </w:r>
      <w:r w:rsidR="00C75AB3" w:rsidRPr="008E33DF">
        <w:rPr>
          <w:rFonts w:cs="Helvetica"/>
        </w:rPr>
        <w:t>.</w:t>
      </w:r>
      <w:r w:rsidR="00D4304F" w:rsidRPr="008E33DF">
        <w:rPr>
          <w:rFonts w:cs="Helvetica"/>
        </w:rPr>
        <w:t xml:space="preserve"> </w:t>
      </w:r>
      <w:r w:rsidR="00C83955" w:rsidRPr="008E33DF">
        <w:rPr>
          <w:rFonts w:cs="Helvetica"/>
        </w:rPr>
        <w:t>Eveneens</w:t>
      </w:r>
      <w:r w:rsidR="008C30D3" w:rsidRPr="008E33DF">
        <w:rPr>
          <w:rFonts w:cs="Helvetica"/>
        </w:rPr>
        <w:t xml:space="preserve"> moet in het contract bedongen worden dat d</w:t>
      </w:r>
      <w:r w:rsidRPr="008E33DF">
        <w:rPr>
          <w:rFonts w:cs="Helvetica"/>
        </w:rPr>
        <w:t xml:space="preserve">e huurovereenkomst kan worden beëindigd als de huurder niet binnen </w:t>
      </w:r>
      <w:r w:rsidR="00C75AB3" w:rsidRPr="008E33DF">
        <w:rPr>
          <w:rFonts w:cs="Helvetica"/>
        </w:rPr>
        <w:t>drie</w:t>
      </w:r>
      <w:r w:rsidRPr="008E33DF">
        <w:rPr>
          <w:rFonts w:cs="Helvetica"/>
        </w:rPr>
        <w:t xml:space="preserve"> maanden</w:t>
      </w:r>
      <w:r w:rsidR="00C75AB3" w:rsidRPr="008E33DF">
        <w:rPr>
          <w:rFonts w:cs="Helvetica"/>
        </w:rPr>
        <w:t xml:space="preserve"> op verzoek van de verhuurder een inschrijvingsbewijs bij een instelling van hoger onderwijs</w:t>
      </w:r>
      <w:r w:rsidRPr="008E33DF">
        <w:rPr>
          <w:rFonts w:cs="Helvetica"/>
        </w:rPr>
        <w:t xml:space="preserve"> kan aantonen</w:t>
      </w:r>
      <w:r w:rsidR="00B107E0" w:rsidRPr="008E33DF">
        <w:rPr>
          <w:rFonts w:cs="Helvetica"/>
        </w:rPr>
        <w:t xml:space="preserve"> (art. 7:274 lid 4 BW)</w:t>
      </w:r>
      <w:r w:rsidRPr="008E33DF">
        <w:rPr>
          <w:rFonts w:cs="Helvetica"/>
        </w:rPr>
        <w:t>.</w:t>
      </w:r>
    </w:p>
    <w:p w:rsidR="006C6476" w:rsidRPr="008E33DF" w:rsidRDefault="006C6476" w:rsidP="006C6476">
      <w:pPr>
        <w:rPr>
          <w:rFonts w:cs="Helvetica"/>
        </w:rPr>
      </w:pPr>
    </w:p>
    <w:p w:rsidR="006C6476" w:rsidRPr="008E33DF" w:rsidRDefault="002F1EB7" w:rsidP="006C6476">
      <w:pPr>
        <w:rPr>
          <w:rFonts w:cs="Helvetica"/>
        </w:rPr>
      </w:pPr>
      <w:r w:rsidRPr="008E33DF">
        <w:rPr>
          <w:rFonts w:cs="Helvetica"/>
        </w:rPr>
        <w:t>Het beroep op de opzeggingsgrond d</w:t>
      </w:r>
      <w:r w:rsidR="006C6476" w:rsidRPr="008E33DF">
        <w:rPr>
          <w:rFonts w:cs="Helvetica"/>
        </w:rPr>
        <w:t>ringen</w:t>
      </w:r>
      <w:r w:rsidRPr="008E33DF">
        <w:rPr>
          <w:rFonts w:cs="Helvetica"/>
        </w:rPr>
        <w:t>d</w:t>
      </w:r>
      <w:r w:rsidR="006C6476" w:rsidRPr="008E33DF">
        <w:rPr>
          <w:rFonts w:cs="Helvetica"/>
        </w:rPr>
        <w:t xml:space="preserve"> ei</w:t>
      </w:r>
      <w:r w:rsidRPr="008E33DF">
        <w:rPr>
          <w:rFonts w:cs="Helvetica"/>
        </w:rPr>
        <w:t xml:space="preserve">gen gebruik </w:t>
      </w:r>
      <w:r w:rsidR="006C6476" w:rsidRPr="008E33DF">
        <w:rPr>
          <w:rFonts w:cs="Helvetica"/>
        </w:rPr>
        <w:t>is niet toewijsbaar indien:</w:t>
      </w:r>
    </w:p>
    <w:p w:rsidR="006C6476" w:rsidRPr="008E33DF" w:rsidRDefault="00C83955" w:rsidP="00C83955">
      <w:pPr>
        <w:numPr>
          <w:ilvl w:val="1"/>
          <w:numId w:val="1"/>
        </w:numPr>
        <w:rPr>
          <w:rFonts w:cs="Helvetica"/>
        </w:rPr>
      </w:pPr>
      <w:r w:rsidRPr="008E33DF">
        <w:rPr>
          <w:rFonts w:cs="Helvetica"/>
        </w:rPr>
        <w:t>D</w:t>
      </w:r>
      <w:r w:rsidR="006C6476" w:rsidRPr="008E33DF">
        <w:rPr>
          <w:rFonts w:cs="Helvetica"/>
        </w:rPr>
        <w:t>e verhuurder geen huisvestingsvergunning kan overleggen indien dit vereist is</w:t>
      </w:r>
      <w:r w:rsidR="00B107E0" w:rsidRPr="008E33DF">
        <w:rPr>
          <w:rFonts w:cs="Helvetica"/>
        </w:rPr>
        <w:t xml:space="preserve"> (art. 7:274 lid 5 sub a BW)</w:t>
      </w:r>
      <w:r w:rsidR="006C6476" w:rsidRPr="008E33DF">
        <w:rPr>
          <w:rFonts w:cs="Helvetica"/>
        </w:rPr>
        <w:t>.</w:t>
      </w:r>
    </w:p>
    <w:p w:rsidR="006C6476" w:rsidRPr="008E33DF" w:rsidRDefault="00C83955" w:rsidP="006C6476">
      <w:pPr>
        <w:numPr>
          <w:ilvl w:val="1"/>
          <w:numId w:val="1"/>
        </w:numPr>
        <w:rPr>
          <w:rFonts w:cs="Helvetica"/>
        </w:rPr>
      </w:pPr>
      <w:r w:rsidRPr="008E33DF">
        <w:rPr>
          <w:rFonts w:cs="Helvetica"/>
        </w:rPr>
        <w:t>De opzegging</w:t>
      </w:r>
      <w:r w:rsidR="002F1EB7" w:rsidRPr="008E33DF">
        <w:rPr>
          <w:rFonts w:cs="Helvetica"/>
        </w:rPr>
        <w:t xml:space="preserve"> gedaan</w:t>
      </w:r>
      <w:r w:rsidRPr="008E33DF">
        <w:rPr>
          <w:rFonts w:cs="Helvetica"/>
        </w:rPr>
        <w:t xml:space="preserve"> is</w:t>
      </w:r>
      <w:r w:rsidR="002F1EB7" w:rsidRPr="008E33DF">
        <w:rPr>
          <w:rFonts w:cs="Helvetica"/>
        </w:rPr>
        <w:t xml:space="preserve"> binnen drie</w:t>
      </w:r>
      <w:r w:rsidR="006C6476" w:rsidRPr="008E33DF">
        <w:rPr>
          <w:rFonts w:cs="Helvetica"/>
        </w:rPr>
        <w:t xml:space="preserve"> jaar nadat verhuurder eigenaar is geworden van het verhuurde en dit schriftelijk heeft medegedeeld aan de huurder</w:t>
      </w:r>
      <w:r w:rsidR="00B107E0" w:rsidRPr="008E33DF">
        <w:rPr>
          <w:rFonts w:cs="Helvetica"/>
        </w:rPr>
        <w:t xml:space="preserve"> (art. 7:274 lid 5 sub b BW)</w:t>
      </w:r>
      <w:r w:rsidR="006C6476" w:rsidRPr="008E33DF">
        <w:rPr>
          <w:rFonts w:cs="Helvetica"/>
        </w:rPr>
        <w:t>.</w:t>
      </w:r>
    </w:p>
    <w:p w:rsidR="006C6476" w:rsidRPr="008E33DF" w:rsidRDefault="006C6476" w:rsidP="006C6476">
      <w:pPr>
        <w:rPr>
          <w:rFonts w:cs="Helvetica"/>
        </w:rPr>
      </w:pPr>
    </w:p>
    <w:p w:rsidR="00C83955" w:rsidRPr="008E33DF" w:rsidRDefault="00C83955" w:rsidP="006C6476">
      <w:pPr>
        <w:rPr>
          <w:rFonts w:cs="Helvetica"/>
        </w:rPr>
      </w:pPr>
    </w:p>
    <w:p w:rsidR="006C6476" w:rsidRPr="008E33DF" w:rsidRDefault="006C6476" w:rsidP="00C83955">
      <w:pPr>
        <w:numPr>
          <w:ilvl w:val="0"/>
          <w:numId w:val="1"/>
        </w:numPr>
        <w:rPr>
          <w:rFonts w:cs="Helvetica"/>
        </w:rPr>
      </w:pPr>
      <w:r w:rsidRPr="008E33DF">
        <w:rPr>
          <w:rFonts w:cs="Helvetica"/>
          <w:b/>
        </w:rPr>
        <w:lastRenderedPageBreak/>
        <w:t>Redelijk aanbod tot aangaan van een nieuwe huurovereenkomst</w:t>
      </w:r>
      <w:r w:rsidR="001D18A6" w:rsidRPr="008E33DF">
        <w:rPr>
          <w:rFonts w:cs="Helvetica"/>
        </w:rPr>
        <w:t xml:space="preserve"> (art. 7:274 lid 1 onderdeel d BW):</w:t>
      </w:r>
      <w:r w:rsidR="001D18A6" w:rsidRPr="008E33DF">
        <w:rPr>
          <w:rFonts w:cs="Helvetica"/>
        </w:rPr>
        <w:tab/>
      </w:r>
    </w:p>
    <w:p w:rsidR="006C6476" w:rsidRPr="008E33DF" w:rsidRDefault="00291027" w:rsidP="006C6476">
      <w:pPr>
        <w:rPr>
          <w:rFonts w:cs="Helvetica"/>
        </w:rPr>
      </w:pPr>
      <w:r w:rsidRPr="008E33DF">
        <w:rPr>
          <w:rFonts w:cs="Helvetica"/>
        </w:rPr>
        <w:tab/>
      </w:r>
      <w:r w:rsidR="006C6476" w:rsidRPr="008E33DF">
        <w:rPr>
          <w:rFonts w:cs="Helvetica"/>
        </w:rPr>
        <w:t xml:space="preserve">Deze opzeggingsgrond wordt meestal gebruikt als de huurder toestemming voor renovatie </w:t>
      </w:r>
      <w:r w:rsidRPr="008E33DF">
        <w:rPr>
          <w:rFonts w:cs="Helvetica"/>
        </w:rPr>
        <w:tab/>
      </w:r>
      <w:r w:rsidR="006C6476" w:rsidRPr="008E33DF">
        <w:rPr>
          <w:rFonts w:cs="Helvetica"/>
        </w:rPr>
        <w:t>weigert. De huurder kan bezwaren hebben tegen de renovatie zelf</w:t>
      </w:r>
      <w:r w:rsidR="002F1EB7" w:rsidRPr="008E33DF">
        <w:rPr>
          <w:rFonts w:cs="Helvetica"/>
        </w:rPr>
        <w:t>,</w:t>
      </w:r>
      <w:r w:rsidR="006C6476" w:rsidRPr="008E33DF">
        <w:rPr>
          <w:rFonts w:cs="Helvetica"/>
        </w:rPr>
        <w:t xml:space="preserve"> maar ook tegen de </w:t>
      </w:r>
      <w:r w:rsidRPr="008E33DF">
        <w:rPr>
          <w:rFonts w:cs="Helvetica"/>
        </w:rPr>
        <w:tab/>
      </w:r>
      <w:r w:rsidR="006C6476" w:rsidRPr="008E33DF">
        <w:rPr>
          <w:rFonts w:cs="Helvetica"/>
        </w:rPr>
        <w:t xml:space="preserve">huurprijsverhoging </w:t>
      </w:r>
      <w:r w:rsidRPr="008E33DF">
        <w:rPr>
          <w:rFonts w:cs="Helvetica"/>
        </w:rPr>
        <w:t>die</w:t>
      </w:r>
      <w:r w:rsidR="00D4304F" w:rsidRPr="008E33DF">
        <w:rPr>
          <w:rFonts w:cs="Helvetica"/>
        </w:rPr>
        <w:t xml:space="preserve"> </w:t>
      </w:r>
      <w:r w:rsidR="002F1EB7" w:rsidRPr="008E33DF">
        <w:rPr>
          <w:rFonts w:cs="Helvetica"/>
        </w:rPr>
        <w:t xml:space="preserve">de </w:t>
      </w:r>
      <w:r w:rsidR="006C6476" w:rsidRPr="008E33DF">
        <w:rPr>
          <w:rFonts w:cs="Helvetica"/>
        </w:rPr>
        <w:t xml:space="preserve">renovatie met zich meebrengt. Als de huurder alleen bezwaren heeft </w:t>
      </w:r>
      <w:r w:rsidRPr="008E33DF">
        <w:rPr>
          <w:rFonts w:cs="Helvetica"/>
        </w:rPr>
        <w:tab/>
      </w:r>
      <w:r w:rsidR="006C6476" w:rsidRPr="008E33DF">
        <w:rPr>
          <w:rFonts w:cs="Helvetica"/>
        </w:rPr>
        <w:t>tegen de huurprijsverhoging mag deze opzeggingsgrond niet gebruikt worden</w:t>
      </w:r>
      <w:r w:rsidR="002F1EB7" w:rsidRPr="008E33DF">
        <w:rPr>
          <w:rFonts w:cs="Helvetica"/>
        </w:rPr>
        <w:t>,</w:t>
      </w:r>
      <w:r w:rsidRPr="008E33DF">
        <w:rPr>
          <w:rFonts w:cs="Helvetica"/>
        </w:rPr>
        <w:t xml:space="preserve"> omdat dit </w:t>
      </w:r>
      <w:r w:rsidRPr="008E33DF">
        <w:rPr>
          <w:rFonts w:cs="Helvetica"/>
        </w:rPr>
        <w:tab/>
        <w:t>geschil valt onder</w:t>
      </w:r>
      <w:r w:rsidR="006C6476" w:rsidRPr="008E33DF">
        <w:rPr>
          <w:rFonts w:cs="Helvetica"/>
        </w:rPr>
        <w:t xml:space="preserve"> onderafdeling 2 van Titel 7.4 afdeling 5 BW. Als het gaat om een </w:t>
      </w:r>
      <w:r w:rsidRPr="008E33DF">
        <w:rPr>
          <w:rFonts w:cs="Helvetica"/>
        </w:rPr>
        <w:tab/>
      </w:r>
      <w:r w:rsidR="006C6476" w:rsidRPr="008E33DF">
        <w:rPr>
          <w:rFonts w:cs="Helvetica"/>
        </w:rPr>
        <w:t>geliberaliseerde woningru</w:t>
      </w:r>
      <w:r w:rsidRPr="008E33DF">
        <w:rPr>
          <w:rFonts w:cs="Helvetica"/>
        </w:rPr>
        <w:t>imte mag het geschil wel gaan over</w:t>
      </w:r>
      <w:r w:rsidR="006C6476" w:rsidRPr="008E33DF">
        <w:rPr>
          <w:rFonts w:cs="Helvetica"/>
        </w:rPr>
        <w:t xml:space="preserve"> de huurprijsverhoging. Deze is </w:t>
      </w:r>
      <w:r w:rsidR="009D1FFF" w:rsidRPr="008E33DF">
        <w:rPr>
          <w:rFonts w:cs="Helvetica"/>
        </w:rPr>
        <w:tab/>
      </w:r>
      <w:r w:rsidR="006C6476" w:rsidRPr="008E33DF">
        <w:rPr>
          <w:rFonts w:cs="Helvetica"/>
        </w:rPr>
        <w:t xml:space="preserve">immers niet geregeld in </w:t>
      </w:r>
      <w:r w:rsidRPr="008E33DF">
        <w:rPr>
          <w:rFonts w:cs="Helvetica"/>
        </w:rPr>
        <w:t xml:space="preserve">de hierboven genoemde </w:t>
      </w:r>
      <w:r w:rsidR="006C6476" w:rsidRPr="008E33DF">
        <w:rPr>
          <w:rFonts w:cs="Helvetica"/>
        </w:rPr>
        <w:t xml:space="preserve">onderafdeling 2. </w:t>
      </w:r>
    </w:p>
    <w:p w:rsidR="006C6476" w:rsidRPr="008E33DF" w:rsidRDefault="006C6476" w:rsidP="006C6476">
      <w:pPr>
        <w:numPr>
          <w:ilvl w:val="0"/>
          <w:numId w:val="1"/>
        </w:numPr>
        <w:rPr>
          <w:rFonts w:cs="Helvetica"/>
        </w:rPr>
      </w:pPr>
      <w:r w:rsidRPr="008E33DF">
        <w:rPr>
          <w:rFonts w:cs="Helvetica"/>
          <w:b/>
        </w:rPr>
        <w:t xml:space="preserve">Verwezenlijken </w:t>
      </w:r>
      <w:r w:rsidR="001D18A6" w:rsidRPr="008E33DF">
        <w:rPr>
          <w:rFonts w:cs="Helvetica"/>
          <w:b/>
        </w:rPr>
        <w:t>van een geldend bestemmingsplan</w:t>
      </w:r>
      <w:r w:rsidR="001D18A6" w:rsidRPr="008E33DF">
        <w:rPr>
          <w:rFonts w:cs="Helvetica"/>
        </w:rPr>
        <w:t xml:space="preserve"> (art. 7:274 lid 1 onderdeel e BW):</w:t>
      </w:r>
    </w:p>
    <w:p w:rsidR="002F1EB7" w:rsidRPr="008E33DF" w:rsidRDefault="009D1FFF" w:rsidP="006C6476">
      <w:pPr>
        <w:rPr>
          <w:rFonts w:cs="Helvetica"/>
        </w:rPr>
      </w:pPr>
      <w:r w:rsidRPr="008E33DF">
        <w:rPr>
          <w:rFonts w:cs="Helvetica"/>
        </w:rPr>
        <w:tab/>
      </w:r>
      <w:r w:rsidR="006C6476" w:rsidRPr="008E33DF">
        <w:rPr>
          <w:rFonts w:cs="Helvetica"/>
        </w:rPr>
        <w:t xml:space="preserve">De verhuurder kan een beroep doen op deze opzeggingsgrond als hij een geldend </w:t>
      </w:r>
      <w:r w:rsidRPr="008E33DF">
        <w:rPr>
          <w:rFonts w:cs="Helvetica"/>
        </w:rPr>
        <w:tab/>
      </w:r>
      <w:r w:rsidR="006C6476" w:rsidRPr="008E33DF">
        <w:rPr>
          <w:rFonts w:cs="Helvetica"/>
        </w:rPr>
        <w:t xml:space="preserve">bestemmingsplan op het gehuurde liggende bestemming wil verwezenlijken. Het </w:t>
      </w:r>
      <w:r w:rsidRPr="008E33DF">
        <w:rPr>
          <w:rFonts w:cs="Helvetica"/>
        </w:rPr>
        <w:tab/>
      </w:r>
      <w:r w:rsidR="006C6476" w:rsidRPr="008E33DF">
        <w:rPr>
          <w:rFonts w:cs="Helvetica"/>
        </w:rPr>
        <w:t>bestemmingsplan moet</w:t>
      </w:r>
      <w:r w:rsidRPr="008E33DF">
        <w:rPr>
          <w:rFonts w:cs="Helvetica"/>
        </w:rPr>
        <w:t xml:space="preserve"> wel</w:t>
      </w:r>
      <w:r w:rsidR="006C6476" w:rsidRPr="008E33DF">
        <w:rPr>
          <w:rFonts w:cs="Helvetica"/>
        </w:rPr>
        <w:t xml:space="preserve"> onherroepelijk zijn. Verder is het nodig dat de ontwikkeling van de </w:t>
      </w:r>
      <w:r w:rsidRPr="008E33DF">
        <w:rPr>
          <w:rFonts w:cs="Helvetica"/>
        </w:rPr>
        <w:tab/>
      </w:r>
      <w:r w:rsidR="006C6476" w:rsidRPr="008E33DF">
        <w:rPr>
          <w:rFonts w:cs="Helvetica"/>
        </w:rPr>
        <w:t>gemeente</w:t>
      </w:r>
      <w:r w:rsidRPr="008E33DF">
        <w:rPr>
          <w:rFonts w:cs="Helvetica"/>
        </w:rPr>
        <w:t xml:space="preserve"> noopt tot</w:t>
      </w:r>
      <w:r w:rsidR="002F1EB7" w:rsidRPr="008E33DF">
        <w:rPr>
          <w:rFonts w:cs="Helvetica"/>
        </w:rPr>
        <w:t xml:space="preserve"> de verwezenlijking van het</w:t>
      </w:r>
      <w:r w:rsidR="006C6476" w:rsidRPr="008E33DF">
        <w:rPr>
          <w:rFonts w:cs="Helvetica"/>
        </w:rPr>
        <w:t xml:space="preserve"> bestemming</w:t>
      </w:r>
      <w:r w:rsidR="002F1EB7" w:rsidRPr="008E33DF">
        <w:rPr>
          <w:rFonts w:cs="Helvetica"/>
        </w:rPr>
        <w:t>splan</w:t>
      </w:r>
      <w:r w:rsidR="006C6476" w:rsidRPr="008E33DF">
        <w:rPr>
          <w:rFonts w:cs="Helvetica"/>
        </w:rPr>
        <w:t>.</w:t>
      </w:r>
    </w:p>
    <w:p w:rsidR="006C6476" w:rsidRPr="008E33DF" w:rsidRDefault="006C6476" w:rsidP="006C6476">
      <w:pPr>
        <w:numPr>
          <w:ilvl w:val="0"/>
          <w:numId w:val="1"/>
        </w:numPr>
        <w:rPr>
          <w:rFonts w:cs="Helvetica"/>
        </w:rPr>
      </w:pPr>
      <w:r w:rsidRPr="008E33DF">
        <w:rPr>
          <w:rFonts w:cs="Helvetica"/>
          <w:b/>
        </w:rPr>
        <w:t>Huurovereenkomst onzelfstandige woonruimte</w:t>
      </w:r>
      <w:r w:rsidR="001D18A6" w:rsidRPr="008E33DF">
        <w:rPr>
          <w:rFonts w:cs="Helvetica"/>
        </w:rPr>
        <w:t xml:space="preserve"> (art. 7:274 lid 1 onderdeel f BW):</w:t>
      </w:r>
    </w:p>
    <w:p w:rsidR="006C6476" w:rsidRPr="008E33DF" w:rsidRDefault="009D1FFF" w:rsidP="006C6476">
      <w:pPr>
        <w:rPr>
          <w:rFonts w:cs="Helvetica"/>
        </w:rPr>
      </w:pPr>
      <w:r w:rsidRPr="008E33DF">
        <w:rPr>
          <w:rFonts w:cs="Helvetica"/>
        </w:rPr>
        <w:tab/>
      </w:r>
      <w:r w:rsidR="006C6476" w:rsidRPr="008E33DF">
        <w:rPr>
          <w:rFonts w:cs="Helvetica"/>
        </w:rPr>
        <w:t xml:space="preserve">Het gaat hier om een huurovereenkomst van een onzelfstandige woonruimte, bijvoorbeeld een </w:t>
      </w:r>
      <w:r w:rsidRPr="008E33DF">
        <w:rPr>
          <w:rFonts w:cs="Helvetica"/>
        </w:rPr>
        <w:tab/>
      </w:r>
      <w:r w:rsidR="006C6476" w:rsidRPr="008E33DF">
        <w:rPr>
          <w:rFonts w:cs="Helvetica"/>
        </w:rPr>
        <w:t xml:space="preserve">kamer van een woning, die deel uitmaakt van de woning waarin de verhuurder zijn </w:t>
      </w:r>
      <w:r w:rsidRPr="008E33DF">
        <w:rPr>
          <w:rFonts w:cs="Helvetica"/>
        </w:rPr>
        <w:tab/>
      </w:r>
      <w:r w:rsidR="006C6476" w:rsidRPr="008E33DF">
        <w:rPr>
          <w:rFonts w:cs="Helvetica"/>
        </w:rPr>
        <w:t xml:space="preserve">hoofdverblijf heeft. Dit wordt ook wel “hospitahuur” genoemd. In zulke gevallen kan de </w:t>
      </w:r>
      <w:r w:rsidRPr="008E33DF">
        <w:rPr>
          <w:rFonts w:cs="Helvetica"/>
        </w:rPr>
        <w:tab/>
      </w:r>
      <w:r w:rsidR="006C6476" w:rsidRPr="008E33DF">
        <w:rPr>
          <w:rFonts w:cs="Helvetica"/>
        </w:rPr>
        <w:t xml:space="preserve">verhuurder opzeggen als hij aantoonbaar kan maken dat zijn belangen bij het beëindigen van </w:t>
      </w:r>
      <w:r w:rsidRPr="008E33DF">
        <w:rPr>
          <w:rFonts w:cs="Helvetica"/>
        </w:rPr>
        <w:tab/>
      </w:r>
      <w:r w:rsidR="006C6476" w:rsidRPr="008E33DF">
        <w:rPr>
          <w:rFonts w:cs="Helvetica"/>
        </w:rPr>
        <w:t>de huur zwaarder wegen dan de</w:t>
      </w:r>
      <w:r w:rsidR="002F1EB7" w:rsidRPr="008E33DF">
        <w:rPr>
          <w:rFonts w:cs="Helvetica"/>
        </w:rPr>
        <w:t xml:space="preserve"> belangen van de huurder bij de</w:t>
      </w:r>
      <w:r w:rsidR="006C6476" w:rsidRPr="008E33DF">
        <w:rPr>
          <w:rFonts w:cs="Helvetica"/>
        </w:rPr>
        <w:t xml:space="preserve"> voortzetting hiervan.</w:t>
      </w:r>
    </w:p>
    <w:p w:rsidR="006C6476" w:rsidRPr="008E33DF" w:rsidRDefault="006C6476" w:rsidP="006C6476">
      <w:pPr>
        <w:rPr>
          <w:rFonts w:cs="Helvetica"/>
        </w:rPr>
      </w:pPr>
    </w:p>
    <w:p w:rsidR="006C6476" w:rsidRPr="008E33DF" w:rsidRDefault="001D18A6" w:rsidP="000B5D69">
      <w:pPr>
        <w:pStyle w:val="Kop3"/>
      </w:pPr>
      <w:bookmarkStart w:id="17" w:name="_Toc454253646"/>
      <w:r w:rsidRPr="008E33DF">
        <w:t xml:space="preserve">2.4.2 </w:t>
      </w:r>
      <w:r w:rsidR="006C6476" w:rsidRPr="008E33DF">
        <w:t>Uitzonderingen</w:t>
      </w:r>
      <w:bookmarkEnd w:id="17"/>
    </w:p>
    <w:p w:rsidR="006C6476" w:rsidRPr="008E33DF" w:rsidRDefault="009D1FFF" w:rsidP="006C6476">
      <w:pPr>
        <w:rPr>
          <w:rFonts w:cs="Helvetica"/>
        </w:rPr>
      </w:pPr>
      <w:r w:rsidRPr="008E33DF">
        <w:rPr>
          <w:rFonts w:cs="Helvetica"/>
        </w:rPr>
        <w:tab/>
        <w:t>D</w:t>
      </w:r>
      <w:r w:rsidR="002F1EB7" w:rsidRPr="008E33DF">
        <w:rPr>
          <w:rFonts w:cs="Helvetica"/>
        </w:rPr>
        <w:t xml:space="preserve">e hoofdregel </w:t>
      </w:r>
      <w:r w:rsidR="006C6476" w:rsidRPr="008E33DF">
        <w:rPr>
          <w:rFonts w:cs="Helvetica"/>
        </w:rPr>
        <w:t>dat een huurovereenkomst van woonruimte, ongeacht</w:t>
      </w:r>
      <w:r w:rsidRPr="008E33DF">
        <w:rPr>
          <w:rFonts w:cs="Helvetica"/>
        </w:rPr>
        <w:t xml:space="preserve"> of deze is</w:t>
      </w:r>
      <w:r w:rsidR="006C6476" w:rsidRPr="008E33DF">
        <w:rPr>
          <w:rFonts w:cs="Helvetica"/>
        </w:rPr>
        <w:t xml:space="preserve"> aangegaan </w:t>
      </w:r>
      <w:r w:rsidRPr="008E33DF">
        <w:rPr>
          <w:rFonts w:cs="Helvetica"/>
        </w:rPr>
        <w:tab/>
      </w:r>
      <w:r w:rsidR="006C6476" w:rsidRPr="008E33DF">
        <w:rPr>
          <w:rFonts w:cs="Helvetica"/>
        </w:rPr>
        <w:t xml:space="preserve">voor bepaalde of </w:t>
      </w:r>
      <w:r w:rsidRPr="008E33DF">
        <w:rPr>
          <w:rFonts w:cs="Helvetica"/>
        </w:rPr>
        <w:t xml:space="preserve">voor </w:t>
      </w:r>
      <w:r w:rsidR="006C6476" w:rsidRPr="008E33DF">
        <w:rPr>
          <w:rFonts w:cs="Helvetica"/>
        </w:rPr>
        <w:t>onbepaalde tijd, alleen kan worden op</w:t>
      </w:r>
      <w:r w:rsidRPr="008E33DF">
        <w:rPr>
          <w:rFonts w:cs="Helvetica"/>
        </w:rPr>
        <w:t xml:space="preserve">gezegd met vermelding van de </w:t>
      </w:r>
      <w:r w:rsidRPr="008E33DF">
        <w:rPr>
          <w:rFonts w:cs="Helvetica"/>
        </w:rPr>
        <w:tab/>
        <w:t>opzeggingsgronden kent een aantal uitzonderingen:</w:t>
      </w:r>
    </w:p>
    <w:p w:rsidR="006C6476" w:rsidRPr="008E33DF" w:rsidRDefault="006C6476" w:rsidP="006C6476">
      <w:pPr>
        <w:numPr>
          <w:ilvl w:val="0"/>
          <w:numId w:val="1"/>
        </w:numPr>
        <w:rPr>
          <w:rFonts w:cs="Helvetica"/>
        </w:rPr>
      </w:pPr>
      <w:r w:rsidRPr="008E33DF">
        <w:rPr>
          <w:rFonts w:cs="Helvetica"/>
          <w:b/>
        </w:rPr>
        <w:t>Gebruik naar zijn aard van korte duur</w:t>
      </w:r>
      <w:r w:rsidR="009D1FFF" w:rsidRPr="008E33DF">
        <w:rPr>
          <w:rFonts w:cs="Helvetica"/>
          <w:b/>
        </w:rPr>
        <w:t>.</w:t>
      </w:r>
      <w:r w:rsidR="009D1FFF" w:rsidRPr="008E33DF">
        <w:rPr>
          <w:rFonts w:cs="Helvetica"/>
        </w:rPr>
        <w:t xml:space="preserve"> Art.</w:t>
      </w:r>
      <w:r w:rsidRPr="008E33DF">
        <w:rPr>
          <w:rFonts w:cs="Helvetica"/>
        </w:rPr>
        <w:t xml:space="preserve"> 7:232 lid 2</w:t>
      </w:r>
      <w:r w:rsidR="001D18A6" w:rsidRPr="008E33DF">
        <w:rPr>
          <w:rFonts w:cs="Helvetica"/>
        </w:rPr>
        <w:t xml:space="preserve"> BW</w:t>
      </w:r>
      <w:r w:rsidRPr="008E33DF">
        <w:rPr>
          <w:rFonts w:cs="Helvetica"/>
        </w:rPr>
        <w:t xml:space="preserve"> sluit afd</w:t>
      </w:r>
      <w:r w:rsidR="008C279A" w:rsidRPr="008E33DF">
        <w:rPr>
          <w:rFonts w:cs="Helvetica"/>
        </w:rPr>
        <w:t>eling 5</w:t>
      </w:r>
      <w:r w:rsidR="00DE554F" w:rsidRPr="008E33DF">
        <w:rPr>
          <w:rFonts w:cs="Helvetica"/>
        </w:rPr>
        <w:t xml:space="preserve"> uit en hiermee de huurbescherming</w:t>
      </w:r>
      <w:r w:rsidRPr="008E33DF">
        <w:rPr>
          <w:rFonts w:cs="Helvetica"/>
        </w:rPr>
        <w:t xml:space="preserve"> voor huur</w:t>
      </w:r>
      <w:r w:rsidR="00DE554F" w:rsidRPr="008E33DF">
        <w:rPr>
          <w:rFonts w:cs="Helvetica"/>
        </w:rPr>
        <w:t>,die</w:t>
      </w:r>
      <w:r w:rsidRPr="008E33DF">
        <w:rPr>
          <w:rFonts w:cs="Helvetica"/>
        </w:rPr>
        <w:t xml:space="preserve"> een gebruik</w:t>
      </w:r>
      <w:r w:rsidR="00DE554F" w:rsidRPr="008E33DF">
        <w:rPr>
          <w:rFonts w:cs="Helvetica"/>
        </w:rPr>
        <w:t xml:space="preserve"> betreft</w:t>
      </w:r>
      <w:r w:rsidRPr="008E33DF">
        <w:rPr>
          <w:rFonts w:cs="Helvetica"/>
        </w:rPr>
        <w:t xml:space="preserve"> van woonruimte dat naar zijn aard sle</w:t>
      </w:r>
      <w:r w:rsidR="00DE554F" w:rsidRPr="008E33DF">
        <w:rPr>
          <w:rFonts w:cs="Helvetica"/>
        </w:rPr>
        <w:t>chts van korte duur is. Voor deze</w:t>
      </w:r>
      <w:r w:rsidRPr="008E33DF">
        <w:rPr>
          <w:rFonts w:cs="Helvetica"/>
        </w:rPr>
        <w:t xml:space="preserve"> soort huur is dus alleen het algemene deel van titel 4 van </w:t>
      </w:r>
      <w:r w:rsidR="00DE554F" w:rsidRPr="008E33DF">
        <w:rPr>
          <w:rFonts w:cs="Helvetica"/>
        </w:rPr>
        <w:t>B</w:t>
      </w:r>
      <w:r w:rsidRPr="008E33DF">
        <w:rPr>
          <w:rFonts w:cs="Helvetica"/>
        </w:rPr>
        <w:t xml:space="preserve">oek 7 BW van toepassing. </w:t>
      </w:r>
    </w:p>
    <w:p w:rsidR="006C6476" w:rsidRPr="008E33DF" w:rsidRDefault="006C6476" w:rsidP="006C6476">
      <w:pPr>
        <w:numPr>
          <w:ilvl w:val="0"/>
          <w:numId w:val="1"/>
        </w:numPr>
        <w:rPr>
          <w:rFonts w:cs="Helvetica"/>
        </w:rPr>
      </w:pPr>
      <w:r w:rsidRPr="008E33DF">
        <w:rPr>
          <w:rFonts w:cs="Helvetica"/>
          <w:b/>
        </w:rPr>
        <w:t>Hospitahuur</w:t>
      </w:r>
      <w:r w:rsidRPr="008E33DF">
        <w:rPr>
          <w:rFonts w:cs="Helvetica"/>
        </w:rPr>
        <w:t xml:space="preserve">: Indien een onzelfstandige woonruimte </w:t>
      </w:r>
      <w:r w:rsidR="00DE554F" w:rsidRPr="008E33DF">
        <w:rPr>
          <w:rFonts w:cs="Helvetica"/>
        </w:rPr>
        <w:t>die</w:t>
      </w:r>
      <w:r w:rsidRPr="008E33DF">
        <w:rPr>
          <w:rFonts w:cs="Helvetica"/>
        </w:rPr>
        <w:t xml:space="preserve"> deel uitmaakt van een woning, </w:t>
      </w:r>
      <w:r w:rsidR="008C279A" w:rsidRPr="008E33DF">
        <w:rPr>
          <w:rFonts w:cs="Helvetica"/>
        </w:rPr>
        <w:t>waarin de hoofdverhuurder zelf</w:t>
      </w:r>
      <w:r w:rsidRPr="008E33DF">
        <w:rPr>
          <w:rFonts w:cs="Helvetica"/>
        </w:rPr>
        <w:t xml:space="preserve"> verblijft</w:t>
      </w:r>
      <w:r w:rsidR="008C279A" w:rsidRPr="008E33DF">
        <w:rPr>
          <w:rFonts w:cs="Helvetica"/>
        </w:rPr>
        <w:t>,</w:t>
      </w:r>
      <w:r w:rsidR="00DE554F" w:rsidRPr="008E33DF">
        <w:rPr>
          <w:rFonts w:cs="Helvetica"/>
        </w:rPr>
        <w:t xml:space="preserve"> verhuurd wordt,</w:t>
      </w:r>
      <w:r w:rsidRPr="008E33DF">
        <w:rPr>
          <w:rFonts w:cs="Helvetica"/>
        </w:rPr>
        <w:t xml:space="preserve"> zijn bepaalde bepalingen u</w:t>
      </w:r>
      <w:r w:rsidR="008C279A" w:rsidRPr="008E33DF">
        <w:rPr>
          <w:rFonts w:cs="Helvetica"/>
        </w:rPr>
        <w:t>itgesloten gedurende de eerste negen</w:t>
      </w:r>
      <w:r w:rsidRPr="008E33DF">
        <w:rPr>
          <w:rFonts w:cs="Helvetica"/>
        </w:rPr>
        <w:t xml:space="preserve"> maanden. Onder andere is art. 7:271 lid 4</w:t>
      </w:r>
      <w:r w:rsidR="001D18A6" w:rsidRPr="008E33DF">
        <w:rPr>
          <w:rFonts w:cs="Helvetica"/>
        </w:rPr>
        <w:t xml:space="preserve"> BW</w:t>
      </w:r>
      <w:r w:rsidRPr="008E33DF">
        <w:rPr>
          <w:rFonts w:cs="Helvetica"/>
        </w:rPr>
        <w:t xml:space="preserve"> uitgesloten, wat betekent dat de</w:t>
      </w:r>
      <w:r w:rsidR="008C279A" w:rsidRPr="008E33DF">
        <w:rPr>
          <w:rFonts w:cs="Helvetica"/>
        </w:rPr>
        <w:t xml:space="preserve"> verhuurde gedurende de eerste negen</w:t>
      </w:r>
      <w:r w:rsidRPr="008E33DF">
        <w:rPr>
          <w:rFonts w:cs="Helvetica"/>
        </w:rPr>
        <w:t xml:space="preserve"> maanden de huurovereenkomst mag opzeggen zonder</w:t>
      </w:r>
      <w:r w:rsidR="008C279A" w:rsidRPr="008E33DF">
        <w:rPr>
          <w:rFonts w:cs="Helvetica"/>
        </w:rPr>
        <w:t xml:space="preserve"> vermelding van</w:t>
      </w:r>
      <w:r w:rsidRPr="008E33DF">
        <w:rPr>
          <w:rFonts w:cs="Helvetica"/>
        </w:rPr>
        <w:t xml:space="preserve"> opzeggingsgronden.</w:t>
      </w:r>
      <w:r w:rsidRPr="008E33DF">
        <w:rPr>
          <w:rFonts w:cs="Helvetica"/>
          <w:vertAlign w:val="superscript"/>
        </w:rPr>
        <w:footnoteReference w:id="15"/>
      </w:r>
    </w:p>
    <w:p w:rsidR="006C6476" w:rsidRPr="008E33DF" w:rsidRDefault="006C6476" w:rsidP="006C6476">
      <w:pPr>
        <w:numPr>
          <w:ilvl w:val="0"/>
          <w:numId w:val="1"/>
        </w:numPr>
        <w:rPr>
          <w:rFonts w:cs="Helvetica"/>
        </w:rPr>
      </w:pPr>
      <w:r w:rsidRPr="008E33DF">
        <w:rPr>
          <w:rFonts w:cs="Helvetica"/>
          <w:b/>
        </w:rPr>
        <w:t>Leegstandswet</w:t>
      </w:r>
      <w:r w:rsidRPr="008E33DF">
        <w:rPr>
          <w:rFonts w:cs="Helvetica"/>
        </w:rPr>
        <w:t xml:space="preserve">: Huurovereenkomsten </w:t>
      </w:r>
      <w:r w:rsidR="00DE554F" w:rsidRPr="008E33DF">
        <w:rPr>
          <w:rFonts w:cs="Helvetica"/>
        </w:rPr>
        <w:t>die</w:t>
      </w:r>
      <w:r w:rsidRPr="008E33DF">
        <w:rPr>
          <w:rFonts w:cs="Helvetica"/>
        </w:rPr>
        <w:t xml:space="preserve"> gesloten zijn op grond van art. 15 en 16 van de Leegstandswet zijn gedeeltelijk uitgezonderd. Zo wordt bijvoorbeeld art. 7:271 lid 4 </w:t>
      </w:r>
      <w:r w:rsidR="001D18A6" w:rsidRPr="008E33DF">
        <w:rPr>
          <w:rFonts w:cs="Helvetica"/>
        </w:rPr>
        <w:t xml:space="preserve">BW </w:t>
      </w:r>
      <w:r w:rsidRPr="008E33DF">
        <w:rPr>
          <w:rFonts w:cs="Helvetica"/>
        </w:rPr>
        <w:t xml:space="preserve">uitgesloten waardoor de verhuurder niet verplicht is om op te zeggen op grond van opzeggingsgronden genoemd in art. </w:t>
      </w:r>
      <w:r w:rsidR="00DE554F" w:rsidRPr="008E33DF">
        <w:rPr>
          <w:rFonts w:cs="Helvetica"/>
        </w:rPr>
        <w:t>7:</w:t>
      </w:r>
      <w:r w:rsidRPr="008E33DF">
        <w:rPr>
          <w:rFonts w:cs="Helvetica"/>
        </w:rPr>
        <w:t>274 lid 1</w:t>
      </w:r>
      <w:r w:rsidR="001D18A6" w:rsidRPr="008E33DF">
        <w:rPr>
          <w:rFonts w:cs="Helvetica"/>
        </w:rPr>
        <w:t xml:space="preserve"> BW</w:t>
      </w:r>
      <w:r w:rsidR="0029618B" w:rsidRPr="008E33DF">
        <w:rPr>
          <w:rFonts w:cs="Helvetica"/>
        </w:rPr>
        <w:t>.</w:t>
      </w:r>
    </w:p>
    <w:p w:rsidR="001D18A6" w:rsidRPr="008E33DF" w:rsidRDefault="001D18A6" w:rsidP="001C189D">
      <w:pPr>
        <w:rPr>
          <w:rFonts w:cs="Helvetica"/>
          <w:i/>
        </w:rPr>
      </w:pPr>
    </w:p>
    <w:p w:rsidR="001C189D" w:rsidRPr="008E33DF" w:rsidRDefault="001D18A6" w:rsidP="005E7558">
      <w:pPr>
        <w:pStyle w:val="Kop2"/>
      </w:pPr>
      <w:bookmarkStart w:id="18" w:name="_Toc454253647"/>
      <w:r w:rsidRPr="008E33DF">
        <w:lastRenderedPageBreak/>
        <w:t xml:space="preserve">2.5 </w:t>
      </w:r>
      <w:r w:rsidR="009B1867" w:rsidRPr="008E33DF">
        <w:t>Einde huurovereenkomst: o</w:t>
      </w:r>
      <w:r w:rsidR="001C189D" w:rsidRPr="008E33DF">
        <w:t>ntbinding</w:t>
      </w:r>
      <w:bookmarkEnd w:id="18"/>
    </w:p>
    <w:p w:rsidR="001C189D" w:rsidRPr="008E33DF" w:rsidRDefault="001C189D" w:rsidP="001C189D">
      <w:pPr>
        <w:rPr>
          <w:rFonts w:cs="Helvetica"/>
        </w:rPr>
      </w:pPr>
      <w:r w:rsidRPr="008E33DF">
        <w:rPr>
          <w:rFonts w:cs="Helvetica"/>
        </w:rPr>
        <w:t>Een huurovereenkomst kan worde</w:t>
      </w:r>
      <w:r w:rsidR="00B03D10" w:rsidRPr="008E33DF">
        <w:rPr>
          <w:rFonts w:cs="Helvetica"/>
        </w:rPr>
        <w:t>n ontbonden op grond van art.7:231</w:t>
      </w:r>
      <w:r w:rsidR="00172A84" w:rsidRPr="008E33DF">
        <w:rPr>
          <w:rFonts w:cs="Helvetica"/>
        </w:rPr>
        <w:t xml:space="preserve"> lid 1</w:t>
      </w:r>
      <w:r w:rsidR="00B03D10" w:rsidRPr="008E33DF">
        <w:rPr>
          <w:rFonts w:cs="Helvetica"/>
        </w:rPr>
        <w:t xml:space="preserve"> BW</w:t>
      </w:r>
      <w:r w:rsidRPr="008E33DF">
        <w:rPr>
          <w:rFonts w:cs="Helvetica"/>
        </w:rPr>
        <w:t xml:space="preserve">. Een tekortkoming van de huurder van een woonruimte geeft de verhuurder de bevoegdheid om de overeenkomst te ontbinden. De tekortkoming moet dan wel gezien haar bijzondere aard of geringe betekenis de ontbinding met haar gevolgen rechtvaardigen. In dit geval is het gevolg van de ontbinding dat de huurder zonder huis komt te zitten. De rechter zal dit niet licht nemen. </w:t>
      </w:r>
      <w:r w:rsidR="00837EDE" w:rsidRPr="008E33DF">
        <w:rPr>
          <w:rFonts w:cs="Helvetica"/>
        </w:rPr>
        <w:t xml:space="preserve">Wanneer de verhuurder de huurovereenkomst wil ontbinden op grond van </w:t>
      </w:r>
      <w:r w:rsidR="00DE554F" w:rsidRPr="008E33DF">
        <w:rPr>
          <w:rFonts w:cs="Helvetica"/>
        </w:rPr>
        <w:t>een</w:t>
      </w:r>
      <w:r w:rsidR="00837EDE" w:rsidRPr="008E33DF">
        <w:rPr>
          <w:rFonts w:cs="Helvetica"/>
        </w:rPr>
        <w:t xml:space="preserve"> tekortkoming van de huurder</w:t>
      </w:r>
      <w:r w:rsidR="00DE554F" w:rsidRPr="008E33DF">
        <w:rPr>
          <w:rFonts w:cs="Helvetica"/>
        </w:rPr>
        <w:t>, is te</w:t>
      </w:r>
      <w:r w:rsidR="00837EDE" w:rsidRPr="008E33DF">
        <w:rPr>
          <w:rFonts w:cs="Helvetica"/>
        </w:rPr>
        <w:t xml:space="preserve"> alle</w:t>
      </w:r>
      <w:r w:rsidR="00DE554F" w:rsidRPr="008E33DF">
        <w:rPr>
          <w:rFonts w:cs="Helvetica"/>
        </w:rPr>
        <w:t>n</w:t>
      </w:r>
      <w:r w:rsidR="00837EDE" w:rsidRPr="008E33DF">
        <w:rPr>
          <w:rFonts w:cs="Helvetica"/>
        </w:rPr>
        <w:t xml:space="preserve"> tijde een rechterlijke ontbinding vereist.</w:t>
      </w:r>
      <w:r w:rsidR="000F4385" w:rsidRPr="008E33DF">
        <w:rPr>
          <w:rStyle w:val="Voetnootmarkering"/>
          <w:rFonts w:cs="Helvetica"/>
        </w:rPr>
        <w:footnoteReference w:id="16"/>
      </w:r>
    </w:p>
    <w:p w:rsidR="001C189D" w:rsidRPr="008E33DF" w:rsidRDefault="00DE554F" w:rsidP="001C189D">
      <w:pPr>
        <w:rPr>
          <w:rFonts w:cs="Helvetica"/>
        </w:rPr>
      </w:pPr>
      <w:r w:rsidRPr="008E33DF">
        <w:rPr>
          <w:rFonts w:cs="Helvetica"/>
        </w:rPr>
        <w:t>O</w:t>
      </w:r>
      <w:r w:rsidR="001C189D" w:rsidRPr="008E33DF">
        <w:rPr>
          <w:rFonts w:cs="Helvetica"/>
        </w:rPr>
        <w:t xml:space="preserve">ntbinding van de huurovereenkomst is verder mogelijk </w:t>
      </w:r>
      <w:r w:rsidRPr="008E33DF">
        <w:rPr>
          <w:rFonts w:cs="Helvetica"/>
        </w:rPr>
        <w:t>in de volgende gevallen</w:t>
      </w:r>
      <w:r w:rsidR="001C189D" w:rsidRPr="008E33DF">
        <w:rPr>
          <w:rFonts w:cs="Helvetica"/>
        </w:rPr>
        <w:t>:</w:t>
      </w:r>
    </w:p>
    <w:p w:rsidR="001C189D" w:rsidRPr="008E33DF" w:rsidRDefault="009D5400" w:rsidP="001C189D">
      <w:pPr>
        <w:numPr>
          <w:ilvl w:val="0"/>
          <w:numId w:val="1"/>
        </w:numPr>
        <w:rPr>
          <w:rFonts w:cs="Helvetica"/>
          <w:i/>
        </w:rPr>
      </w:pPr>
      <w:r w:rsidRPr="008E33DF">
        <w:rPr>
          <w:rFonts w:cs="Helvetica"/>
          <w:i/>
        </w:rPr>
        <w:t>"</w:t>
      </w:r>
      <w:r w:rsidR="001C189D" w:rsidRPr="008E33DF">
        <w:rPr>
          <w:rFonts w:cs="Helvetica"/>
          <w:i/>
        </w:rPr>
        <w:t>de ontbinding na sluiting op last van het college van B&amp;W: art. 7:231 lid 2 BW;</w:t>
      </w:r>
    </w:p>
    <w:p w:rsidR="001C189D" w:rsidRPr="008E33DF" w:rsidRDefault="001C189D" w:rsidP="001C189D">
      <w:pPr>
        <w:numPr>
          <w:ilvl w:val="0"/>
          <w:numId w:val="1"/>
        </w:numPr>
        <w:rPr>
          <w:rFonts w:cs="Helvetica"/>
          <w:i/>
        </w:rPr>
      </w:pPr>
      <w:r w:rsidRPr="008E33DF">
        <w:rPr>
          <w:rFonts w:cs="Helvetica"/>
          <w:i/>
        </w:rPr>
        <w:t>de ontbinding van de huurovereenkomst wegens gebreken: artikelen 7:207 BW en volgende, 7:210 BW en 7:279 BW;</w:t>
      </w:r>
    </w:p>
    <w:p w:rsidR="001C189D" w:rsidRPr="008E33DF" w:rsidRDefault="001C189D" w:rsidP="001C189D">
      <w:pPr>
        <w:numPr>
          <w:ilvl w:val="0"/>
          <w:numId w:val="1"/>
        </w:numPr>
        <w:rPr>
          <w:rFonts w:cs="Helvetica"/>
          <w:i/>
        </w:rPr>
      </w:pPr>
      <w:r w:rsidRPr="008E33DF">
        <w:rPr>
          <w:rFonts w:cs="Helvetica"/>
          <w:i/>
        </w:rPr>
        <w:t>de ontbinding op vordering van de verhuurder ter verwezenlijking van een geldend bestemmingsplan: artikel 7:281 BW</w:t>
      </w:r>
      <w:r w:rsidR="009D5400" w:rsidRPr="008E33DF">
        <w:rPr>
          <w:rFonts w:cs="Helvetica"/>
          <w:i/>
        </w:rPr>
        <w:t>"</w:t>
      </w:r>
      <w:r w:rsidRPr="008E33DF">
        <w:rPr>
          <w:rFonts w:cs="Helvetica"/>
          <w:i/>
          <w:vertAlign w:val="superscript"/>
        </w:rPr>
        <w:footnoteReference w:id="17"/>
      </w:r>
    </w:p>
    <w:p w:rsidR="001C189D" w:rsidRPr="008E33DF" w:rsidRDefault="001C189D" w:rsidP="001C189D">
      <w:pPr>
        <w:rPr>
          <w:rFonts w:cs="Helvetica"/>
          <w:color w:val="FF0000"/>
          <w:u w:val="single"/>
        </w:rPr>
      </w:pPr>
    </w:p>
    <w:p w:rsidR="00837EDE" w:rsidRPr="008E33DF" w:rsidRDefault="001C189D" w:rsidP="001C189D">
      <w:pPr>
        <w:rPr>
          <w:rFonts w:cs="Helvetica"/>
        </w:rPr>
      </w:pPr>
      <w:r w:rsidRPr="008E33DF">
        <w:rPr>
          <w:rFonts w:cs="Helvetica"/>
        </w:rPr>
        <w:t>I</w:t>
      </w:r>
      <w:r w:rsidR="00DE554F" w:rsidRPr="008E33DF">
        <w:rPr>
          <w:rFonts w:cs="Helvetica"/>
        </w:rPr>
        <w:t>n</w:t>
      </w:r>
      <w:r w:rsidRPr="008E33DF">
        <w:rPr>
          <w:rFonts w:cs="Helvetica"/>
        </w:rPr>
        <w:t xml:space="preserve"> dit onderzoek</w:t>
      </w:r>
      <w:r w:rsidR="00DE554F" w:rsidRPr="008E33DF">
        <w:rPr>
          <w:rFonts w:cs="Helvetica"/>
        </w:rPr>
        <w:t xml:space="preserve"> wordt</w:t>
      </w:r>
      <w:r w:rsidRPr="008E33DF">
        <w:rPr>
          <w:rFonts w:cs="Helvetica"/>
        </w:rPr>
        <w:t xml:space="preserve"> niet verder </w:t>
      </w:r>
      <w:r w:rsidR="00DE554F" w:rsidRPr="008E33DF">
        <w:rPr>
          <w:rFonts w:cs="Helvetica"/>
        </w:rPr>
        <w:t>ingegaan</w:t>
      </w:r>
      <w:r w:rsidRPr="008E33DF">
        <w:rPr>
          <w:rFonts w:cs="Helvetica"/>
        </w:rPr>
        <w:t xml:space="preserve"> op de ontbinding van de huurovereenkomst, </w:t>
      </w:r>
      <w:r w:rsidR="00ED3E62" w:rsidRPr="008E33DF">
        <w:rPr>
          <w:rFonts w:cs="Helvetica"/>
        </w:rPr>
        <w:t>omdat</w:t>
      </w:r>
      <w:r w:rsidRPr="008E33DF">
        <w:rPr>
          <w:rFonts w:cs="Helvetica"/>
        </w:rPr>
        <w:t xml:space="preserve"> het niet relevant is voor </w:t>
      </w:r>
      <w:r w:rsidR="00ED3E62" w:rsidRPr="008E33DF">
        <w:rPr>
          <w:rFonts w:cs="Helvetica"/>
        </w:rPr>
        <w:t>dit</w:t>
      </w:r>
      <w:r w:rsidRPr="008E33DF">
        <w:rPr>
          <w:rFonts w:cs="Helvetica"/>
        </w:rPr>
        <w:t xml:space="preserve"> onderzoek. </w:t>
      </w:r>
      <w:r w:rsidR="00F22E8A" w:rsidRPr="008E33DF">
        <w:rPr>
          <w:rFonts w:cs="Helvetica"/>
        </w:rPr>
        <w:t xml:space="preserve">Zoals u in dit hoofdstuk heeft kunnen lezen is het lastig om de huurovereenkomst van woonruimte te beëindigen. Ook op grond van ontbinding. </w:t>
      </w:r>
      <w:r w:rsidR="00837EDE" w:rsidRPr="008E33DF">
        <w:rPr>
          <w:rFonts w:cs="Helvetica"/>
        </w:rPr>
        <w:t>In dit onderzoek is gekozen om de huurovereenkomst die naar zijn aard van korte duur is te analyseren. Er is specifiek voor deze uitzonderingsbepaling gekozen omdat op grond van art. 7:2</w:t>
      </w:r>
      <w:r w:rsidR="00F22E8A" w:rsidRPr="008E33DF">
        <w:rPr>
          <w:rFonts w:cs="Helvetica"/>
        </w:rPr>
        <w:t>32 l</w:t>
      </w:r>
      <w:r w:rsidR="00ED3E62" w:rsidRPr="008E33DF">
        <w:rPr>
          <w:rFonts w:cs="Helvetica"/>
        </w:rPr>
        <w:t>id 2 BW de strenge regels met betrekking tot</w:t>
      </w:r>
      <w:r w:rsidR="00F22E8A" w:rsidRPr="008E33DF">
        <w:rPr>
          <w:rFonts w:cs="Helvetica"/>
        </w:rPr>
        <w:t xml:space="preserve"> de huurbescherming niet van toepassing zijn op de huurovereenkomst die naar zijn aard van korte duur is.</w:t>
      </w:r>
    </w:p>
    <w:p w:rsidR="00837EDE" w:rsidRPr="008E33DF" w:rsidRDefault="00837EDE" w:rsidP="001C189D">
      <w:pPr>
        <w:rPr>
          <w:rFonts w:cs="Helvetica"/>
          <w:color w:val="FF0000"/>
        </w:rPr>
      </w:pPr>
    </w:p>
    <w:p w:rsidR="00043662" w:rsidRPr="008E33DF" w:rsidRDefault="00043662" w:rsidP="001C189D">
      <w:pPr>
        <w:rPr>
          <w:rFonts w:cs="Helvetica"/>
        </w:rPr>
      </w:pPr>
    </w:p>
    <w:p w:rsidR="00043662" w:rsidRPr="008E33DF" w:rsidRDefault="00043662" w:rsidP="001C189D">
      <w:pPr>
        <w:rPr>
          <w:rFonts w:cs="Helvetica"/>
        </w:rPr>
      </w:pPr>
    </w:p>
    <w:p w:rsidR="00597D90" w:rsidRPr="008E33DF" w:rsidRDefault="00597D90">
      <w:pPr>
        <w:rPr>
          <w:rFonts w:cs="Helvetica"/>
        </w:rPr>
      </w:pPr>
    </w:p>
    <w:p w:rsidR="001D18A6" w:rsidRPr="008E33DF" w:rsidRDefault="001D18A6">
      <w:pPr>
        <w:rPr>
          <w:rFonts w:cs="Helvetica"/>
        </w:rPr>
      </w:pPr>
    </w:p>
    <w:p w:rsidR="001D18A6" w:rsidRPr="008E33DF" w:rsidRDefault="001D18A6">
      <w:pPr>
        <w:rPr>
          <w:rFonts w:cs="Helvetica"/>
        </w:rPr>
      </w:pPr>
    </w:p>
    <w:p w:rsidR="00ED3E62" w:rsidRPr="008E33DF" w:rsidRDefault="00ED3E62">
      <w:pPr>
        <w:rPr>
          <w:rFonts w:cs="Helvetica"/>
        </w:rPr>
      </w:pPr>
    </w:p>
    <w:p w:rsidR="00ED3E62" w:rsidRPr="008E33DF" w:rsidRDefault="00ED3E62">
      <w:pPr>
        <w:rPr>
          <w:rFonts w:cs="Helvetica"/>
        </w:rPr>
      </w:pPr>
    </w:p>
    <w:p w:rsidR="001D18A6" w:rsidRPr="008E33DF" w:rsidRDefault="001D18A6">
      <w:pPr>
        <w:rPr>
          <w:rFonts w:cs="Helvetica"/>
        </w:rPr>
      </w:pPr>
    </w:p>
    <w:p w:rsidR="001D18A6" w:rsidRPr="008E33DF" w:rsidRDefault="001D18A6">
      <w:pPr>
        <w:rPr>
          <w:rFonts w:cs="Helvetica"/>
        </w:rPr>
      </w:pPr>
    </w:p>
    <w:p w:rsidR="001D18A6" w:rsidRPr="008E33DF" w:rsidRDefault="001D18A6">
      <w:pPr>
        <w:rPr>
          <w:rFonts w:cs="Helvetica"/>
        </w:rPr>
      </w:pPr>
    </w:p>
    <w:p w:rsidR="004A0522" w:rsidRDefault="004A0522">
      <w:pPr>
        <w:rPr>
          <w:rFonts w:cs="Helvetica"/>
        </w:rPr>
      </w:pPr>
    </w:p>
    <w:p w:rsidR="00896577" w:rsidRPr="008E33DF" w:rsidRDefault="00896577">
      <w:pPr>
        <w:rPr>
          <w:rFonts w:cs="Helvetica"/>
        </w:rPr>
      </w:pPr>
    </w:p>
    <w:p w:rsidR="001D18A6" w:rsidRPr="008E33DF" w:rsidRDefault="001D18A6">
      <w:pPr>
        <w:rPr>
          <w:rFonts w:cs="Helvetica"/>
        </w:rPr>
      </w:pPr>
    </w:p>
    <w:p w:rsidR="001D18A6" w:rsidRPr="008E33DF" w:rsidRDefault="001D18A6">
      <w:pPr>
        <w:rPr>
          <w:rFonts w:cs="Helvetica"/>
        </w:rPr>
      </w:pPr>
    </w:p>
    <w:p w:rsidR="00043662" w:rsidRPr="008E33DF" w:rsidRDefault="00043662" w:rsidP="005E7558">
      <w:pPr>
        <w:pStyle w:val="Kop1"/>
      </w:pPr>
      <w:bookmarkStart w:id="19" w:name="_Toc454253648"/>
      <w:r w:rsidRPr="008E33DF">
        <w:lastRenderedPageBreak/>
        <w:t>3. Naar zijn aard van korte duur</w:t>
      </w:r>
      <w:bookmarkEnd w:id="19"/>
    </w:p>
    <w:p w:rsidR="00AD1F9A" w:rsidRPr="008E33DF" w:rsidRDefault="00AD1F9A" w:rsidP="00AD1F9A">
      <w:pPr>
        <w:rPr>
          <w:rFonts w:cs="Helvetica"/>
        </w:rPr>
      </w:pPr>
      <w:r w:rsidRPr="008E33DF">
        <w:rPr>
          <w:rFonts w:cs="Helvetica"/>
        </w:rPr>
        <w:t xml:space="preserve">In dit hoofdstuk </w:t>
      </w:r>
      <w:r w:rsidR="00ED3E62" w:rsidRPr="008E33DF">
        <w:rPr>
          <w:rFonts w:cs="Helvetica"/>
        </w:rPr>
        <w:t>wordt</w:t>
      </w:r>
      <w:r w:rsidRPr="008E33DF">
        <w:rPr>
          <w:rFonts w:cs="Helvetica"/>
        </w:rPr>
        <w:t xml:space="preserve"> de </w:t>
      </w:r>
      <w:r w:rsidR="00ED3E62" w:rsidRPr="008E33DF">
        <w:rPr>
          <w:rFonts w:cs="Helvetica"/>
        </w:rPr>
        <w:t>tweede</w:t>
      </w:r>
      <w:r w:rsidRPr="008E33DF">
        <w:rPr>
          <w:rFonts w:cs="Helvetica"/>
        </w:rPr>
        <w:t xml:space="preserve"> deelvraag beantwoord:</w:t>
      </w:r>
    </w:p>
    <w:p w:rsidR="007108EC" w:rsidRPr="008E33DF" w:rsidRDefault="007108EC" w:rsidP="007108EC">
      <w:pPr>
        <w:rPr>
          <w:rFonts w:cs="Helvetica"/>
          <w:i/>
        </w:rPr>
      </w:pPr>
      <w:r w:rsidRPr="008E33DF">
        <w:rPr>
          <w:rFonts w:cs="Helvetica"/>
          <w:i/>
        </w:rPr>
        <w:t>Wat zeggen de wet- en regelgeving en de parlementaire geschiedenis over huur van woonruimte die naar zijn aard van korte duur is?</w:t>
      </w:r>
    </w:p>
    <w:p w:rsidR="00F22E8A" w:rsidRPr="008E33DF" w:rsidRDefault="00F22E8A" w:rsidP="00AD1F9A">
      <w:pPr>
        <w:rPr>
          <w:rFonts w:cs="Helvetica"/>
        </w:rPr>
      </w:pPr>
    </w:p>
    <w:p w:rsidR="00AD1F9A" w:rsidRPr="008E33DF" w:rsidRDefault="008C279A" w:rsidP="00AD1F9A">
      <w:pPr>
        <w:rPr>
          <w:rFonts w:cs="Helvetica"/>
        </w:rPr>
      </w:pPr>
      <w:r w:rsidRPr="008E33DF">
        <w:rPr>
          <w:rFonts w:cs="Helvetica"/>
        </w:rPr>
        <w:t>Dit hoofdstuk behandelt</w:t>
      </w:r>
      <w:r w:rsidR="00AD1F9A" w:rsidRPr="008E33DF">
        <w:rPr>
          <w:rFonts w:cs="Helvetica"/>
        </w:rPr>
        <w:t xml:space="preserve"> de</w:t>
      </w:r>
      <w:r w:rsidR="002F51E5" w:rsidRPr="008E33DF">
        <w:rPr>
          <w:rFonts w:cs="Helvetica"/>
        </w:rPr>
        <w:t xml:space="preserve"> uitzonderingsbepaling</w:t>
      </w:r>
      <w:r w:rsidR="00F67C89" w:rsidRPr="008E33DF">
        <w:rPr>
          <w:rFonts w:cs="Helvetica"/>
        </w:rPr>
        <w:t xml:space="preserve"> genoemd in art. 7:232 lid 2 BW, namelijk de</w:t>
      </w:r>
      <w:r w:rsidR="00AD1F9A" w:rsidRPr="008E33DF">
        <w:rPr>
          <w:rFonts w:cs="Helvetica"/>
        </w:rPr>
        <w:t xml:space="preserve"> huurovereenkomst </w:t>
      </w:r>
      <w:r w:rsidR="007108EC" w:rsidRPr="008E33DF">
        <w:rPr>
          <w:rFonts w:cs="Helvetica"/>
        </w:rPr>
        <w:t>die</w:t>
      </w:r>
      <w:r w:rsidR="00F67C89" w:rsidRPr="008E33DF">
        <w:rPr>
          <w:rFonts w:cs="Helvetica"/>
        </w:rPr>
        <w:t xml:space="preserve"> een gebruik </w:t>
      </w:r>
      <w:r w:rsidR="00AD1F9A" w:rsidRPr="008E33DF">
        <w:rPr>
          <w:rFonts w:cs="Helvetica"/>
        </w:rPr>
        <w:t>van woonruimte</w:t>
      </w:r>
      <w:r w:rsidR="00F67C89" w:rsidRPr="008E33DF">
        <w:rPr>
          <w:rFonts w:cs="Helvetica"/>
        </w:rPr>
        <w:t xml:space="preserve"> betreft</w:t>
      </w:r>
      <w:r w:rsidR="00D4304F" w:rsidRPr="008E33DF">
        <w:rPr>
          <w:rFonts w:cs="Helvetica"/>
        </w:rPr>
        <w:t xml:space="preserve"> </w:t>
      </w:r>
      <w:r w:rsidR="00F67C89" w:rsidRPr="008E33DF">
        <w:rPr>
          <w:rFonts w:cs="Helvetica"/>
        </w:rPr>
        <w:t>dat</w:t>
      </w:r>
      <w:r w:rsidR="00AD1F9A" w:rsidRPr="008E33DF">
        <w:rPr>
          <w:rFonts w:cs="Helvetica"/>
        </w:rPr>
        <w:t xml:space="preserve"> naar zijn aard van korte duur is</w:t>
      </w:r>
      <w:r w:rsidR="002F51E5" w:rsidRPr="008E33DF">
        <w:rPr>
          <w:rFonts w:cs="Helvetica"/>
        </w:rPr>
        <w:t xml:space="preserve"> (hierna: uitzonderingsbepaling</w:t>
      </w:r>
      <w:r w:rsidR="001A4A86" w:rsidRPr="008E33DF">
        <w:rPr>
          <w:rFonts w:cs="Helvetica"/>
        </w:rPr>
        <w:t>)</w:t>
      </w:r>
      <w:r w:rsidR="00AD1F9A" w:rsidRPr="008E33DF">
        <w:rPr>
          <w:rFonts w:cs="Helvetica"/>
        </w:rPr>
        <w:t>.</w:t>
      </w:r>
      <w:r w:rsidR="009D5400" w:rsidRPr="008E33DF">
        <w:rPr>
          <w:rFonts w:cs="Helvetica"/>
        </w:rPr>
        <w:t xml:space="preserve"> </w:t>
      </w:r>
      <w:r w:rsidR="00B17E8F" w:rsidRPr="008E33DF">
        <w:rPr>
          <w:rFonts w:cs="Helvetica"/>
        </w:rPr>
        <w:t>Eerst</w:t>
      </w:r>
      <w:r w:rsidR="00D4304F" w:rsidRPr="008E33DF">
        <w:rPr>
          <w:rFonts w:cs="Helvetica"/>
        </w:rPr>
        <w:t xml:space="preserve"> </w:t>
      </w:r>
      <w:r w:rsidR="00B17E8F" w:rsidRPr="008E33DF">
        <w:rPr>
          <w:rFonts w:cs="Helvetica"/>
        </w:rPr>
        <w:t>wordt</w:t>
      </w:r>
      <w:r w:rsidR="00BB5CA6" w:rsidRPr="008E33DF">
        <w:rPr>
          <w:rFonts w:cs="Helvetica"/>
        </w:rPr>
        <w:t xml:space="preserve"> de</w:t>
      </w:r>
      <w:r w:rsidR="00B17E8F" w:rsidRPr="008E33DF">
        <w:rPr>
          <w:rFonts w:cs="Helvetica"/>
        </w:rPr>
        <w:t xml:space="preserve"> totstandkoming</w:t>
      </w:r>
      <w:r w:rsidR="00BB5CA6" w:rsidRPr="008E33DF">
        <w:rPr>
          <w:rFonts w:cs="Helvetica"/>
        </w:rPr>
        <w:t xml:space="preserve"> behandeld</w:t>
      </w:r>
      <w:r w:rsidR="00B17E8F" w:rsidRPr="008E33DF">
        <w:rPr>
          <w:rFonts w:cs="Helvetica"/>
        </w:rPr>
        <w:t xml:space="preserve"> en de </w:t>
      </w:r>
      <w:r w:rsidR="00A41BDC" w:rsidRPr="008E33DF">
        <w:rPr>
          <w:rFonts w:cs="Helvetica"/>
        </w:rPr>
        <w:t xml:space="preserve">bedoeling </w:t>
      </w:r>
      <w:r w:rsidR="00F67C89" w:rsidRPr="008E33DF">
        <w:rPr>
          <w:rFonts w:cs="Helvetica"/>
        </w:rPr>
        <w:t>van</w:t>
      </w:r>
      <w:r w:rsidR="00A41BDC" w:rsidRPr="008E33DF">
        <w:rPr>
          <w:rFonts w:cs="Helvetica"/>
        </w:rPr>
        <w:t xml:space="preserve"> de wetgever</w:t>
      </w:r>
      <w:r w:rsidR="00BB5CA6" w:rsidRPr="008E33DF">
        <w:rPr>
          <w:rFonts w:cs="Helvetica"/>
        </w:rPr>
        <w:t xml:space="preserve"> daarvan</w:t>
      </w:r>
      <w:r w:rsidR="00A41BDC" w:rsidRPr="008E33DF">
        <w:rPr>
          <w:rFonts w:cs="Helvetica"/>
        </w:rPr>
        <w:t>. Ver</w:t>
      </w:r>
      <w:r w:rsidR="00F67C89" w:rsidRPr="008E33DF">
        <w:rPr>
          <w:rFonts w:cs="Helvetica"/>
        </w:rPr>
        <w:t>volgens</w:t>
      </w:r>
      <w:r w:rsidR="00D4304F" w:rsidRPr="008E33DF">
        <w:rPr>
          <w:rFonts w:cs="Helvetica"/>
        </w:rPr>
        <w:t xml:space="preserve"> </w:t>
      </w:r>
      <w:r w:rsidR="001A4A86" w:rsidRPr="008E33DF">
        <w:rPr>
          <w:rFonts w:cs="Helvetica"/>
        </w:rPr>
        <w:t>komt</w:t>
      </w:r>
      <w:r w:rsidR="00A41BDC" w:rsidRPr="008E33DF">
        <w:rPr>
          <w:rFonts w:cs="Helvetica"/>
        </w:rPr>
        <w:t xml:space="preserve"> de </w:t>
      </w:r>
      <w:r w:rsidR="00F67C89" w:rsidRPr="008E33DF">
        <w:rPr>
          <w:rFonts w:cs="Helvetica"/>
        </w:rPr>
        <w:t>beoordeling op de uitzonderingsbepaling aan bod</w:t>
      </w:r>
      <w:r w:rsidR="00A41BDC" w:rsidRPr="008E33DF">
        <w:rPr>
          <w:rFonts w:cs="Helvetica"/>
        </w:rPr>
        <w:t xml:space="preserve">. Ten slotte wordt </w:t>
      </w:r>
      <w:r w:rsidR="001A4A86" w:rsidRPr="008E33DF">
        <w:rPr>
          <w:rFonts w:cs="Helvetica"/>
        </w:rPr>
        <w:t xml:space="preserve">ingegaan op </w:t>
      </w:r>
      <w:r w:rsidR="00BB5CA6" w:rsidRPr="008E33DF">
        <w:rPr>
          <w:rFonts w:cs="Helvetica"/>
        </w:rPr>
        <w:t>de rechtsgevolgen die</w:t>
      </w:r>
      <w:r w:rsidR="002F51E5" w:rsidRPr="008E33DF">
        <w:rPr>
          <w:rFonts w:cs="Helvetica"/>
        </w:rPr>
        <w:t xml:space="preserve"> de uitzonderingsbepaling met zich meebrengt.</w:t>
      </w:r>
    </w:p>
    <w:p w:rsidR="00AD1F9A" w:rsidRPr="008E33DF" w:rsidRDefault="00AD1F9A" w:rsidP="00AD1F9A">
      <w:pPr>
        <w:rPr>
          <w:rFonts w:cs="Helvetica"/>
        </w:rPr>
      </w:pPr>
    </w:p>
    <w:p w:rsidR="00AD1F9A" w:rsidRPr="008E33DF" w:rsidRDefault="00AD1F9A" w:rsidP="00AD1F9A">
      <w:pPr>
        <w:rPr>
          <w:rFonts w:cs="Helvetica"/>
        </w:rPr>
      </w:pPr>
    </w:p>
    <w:p w:rsidR="00315970" w:rsidRPr="008E33DF" w:rsidRDefault="004742E5" w:rsidP="005E7558">
      <w:pPr>
        <w:pStyle w:val="Kop2"/>
      </w:pPr>
      <w:bookmarkStart w:id="20" w:name="_Toc454253649"/>
      <w:r w:rsidRPr="008E33DF">
        <w:t>3.1</w:t>
      </w:r>
      <w:r w:rsidR="00D4304F" w:rsidRPr="008E33DF">
        <w:t xml:space="preserve"> </w:t>
      </w:r>
      <w:r w:rsidR="008F74C7" w:rsidRPr="008E33DF">
        <w:t>Wetsgeschiedenis</w:t>
      </w:r>
      <w:bookmarkEnd w:id="20"/>
    </w:p>
    <w:p w:rsidR="00A17E1F" w:rsidRPr="008E33DF" w:rsidRDefault="004742E5" w:rsidP="005E7558">
      <w:pPr>
        <w:pStyle w:val="Kop3"/>
      </w:pPr>
      <w:bookmarkStart w:id="21" w:name="_Toc454253650"/>
      <w:r w:rsidRPr="008E33DF">
        <w:t>3.1</w:t>
      </w:r>
      <w:r w:rsidR="00A17E1F" w:rsidRPr="008E33DF">
        <w:t>.1 Totstandkoming van de</w:t>
      </w:r>
      <w:r w:rsidR="005135F0" w:rsidRPr="008E33DF">
        <w:t xml:space="preserve"> uitzonderingsbepaling:</w:t>
      </w:r>
      <w:r w:rsidR="00A17E1F" w:rsidRPr="008E33DF">
        <w:t xml:space="preserve"> huur van woonruimte </w:t>
      </w:r>
      <w:r w:rsidR="009B1867" w:rsidRPr="008E33DF">
        <w:t>die</w:t>
      </w:r>
      <w:r w:rsidR="00A17E1F" w:rsidRPr="008E33DF">
        <w:t xml:space="preserve"> naar zijn aard van korte duur is</w:t>
      </w:r>
      <w:bookmarkEnd w:id="21"/>
    </w:p>
    <w:p w:rsidR="00BB5CA6" w:rsidRPr="008E33DF" w:rsidRDefault="00A17E1F" w:rsidP="001D18A6">
      <w:pPr>
        <w:rPr>
          <w:rFonts w:cs="Helvetica"/>
        </w:rPr>
      </w:pPr>
      <w:r w:rsidRPr="008E33DF">
        <w:rPr>
          <w:rFonts w:cs="Helvetica"/>
        </w:rPr>
        <w:t xml:space="preserve">De </w:t>
      </w:r>
      <w:r w:rsidR="002F51E5" w:rsidRPr="008E33DF">
        <w:rPr>
          <w:rFonts w:cs="Helvetica"/>
        </w:rPr>
        <w:t>uitzonderingsbepaling</w:t>
      </w:r>
      <w:r w:rsidRPr="008E33DF">
        <w:rPr>
          <w:rFonts w:cs="Helvetica"/>
        </w:rPr>
        <w:t xml:space="preserve"> is voor het eerst ingevoerd in </w:t>
      </w:r>
      <w:r w:rsidR="00B8058D" w:rsidRPr="008E33DF">
        <w:rPr>
          <w:rFonts w:cs="Helvetica"/>
        </w:rPr>
        <w:t>197</w:t>
      </w:r>
      <w:r w:rsidRPr="008E33DF">
        <w:rPr>
          <w:rFonts w:cs="Helvetica"/>
        </w:rPr>
        <w:t>2</w:t>
      </w:r>
      <w:r w:rsidR="009D5400" w:rsidRPr="008E33DF">
        <w:rPr>
          <w:rFonts w:cs="Helvetica"/>
        </w:rPr>
        <w:t xml:space="preserve"> </w:t>
      </w:r>
      <w:r w:rsidRPr="008E33DF">
        <w:rPr>
          <w:rFonts w:cs="Helvetica"/>
        </w:rPr>
        <w:t>onder de eerste versie van art. 1623a BW (oud)</w:t>
      </w:r>
      <w:r w:rsidR="001D18A6" w:rsidRPr="008E33DF">
        <w:rPr>
          <w:rFonts w:cs="Helvetica"/>
        </w:rPr>
        <w:t>.</w:t>
      </w:r>
      <w:r w:rsidRPr="008E33DF">
        <w:rPr>
          <w:rFonts w:cs="Helvetica"/>
        </w:rPr>
        <w:t xml:space="preserve"> Er is toen niet strak uitgelegd wanneer sprake is van deze uitzonderingsregel.</w:t>
      </w:r>
    </w:p>
    <w:p w:rsidR="008F74C7" w:rsidRPr="008E33DF" w:rsidRDefault="008F74C7" w:rsidP="001D18A6">
      <w:pPr>
        <w:rPr>
          <w:rFonts w:cs="Helvetica"/>
        </w:rPr>
      </w:pPr>
    </w:p>
    <w:p w:rsidR="008F74C7" w:rsidRPr="008E33DF" w:rsidRDefault="009D5400" w:rsidP="001D18A6">
      <w:pPr>
        <w:rPr>
          <w:rFonts w:cs="Helvetica"/>
          <w:i/>
        </w:rPr>
      </w:pPr>
      <w:r w:rsidRPr="008E33DF">
        <w:rPr>
          <w:rFonts w:cs="Helvetica"/>
          <w:i/>
        </w:rPr>
        <w:t>"</w:t>
      </w:r>
      <w:r w:rsidR="008F74C7" w:rsidRPr="008E33DF">
        <w:rPr>
          <w:rFonts w:cs="Helvetica"/>
          <w:i/>
        </w:rPr>
        <w:t>Een categorie die zeker behoort te worden uitgesloten, is die van vakantie- en seizoenwoningen. De omschrijving daarvan is ook al weer zeer moeilijk met enige nauwkeurigheid te geven. Het criterium van een bepaalde duur van de huurovereenkomst is hier slecht bruikbaar: het zou immers gemakkelijk gelegenheid geven tot ontduiking van de wettelijke regeling. Voorgesteld wordt een zuiver feitelijk criterium te geven, namelijk uit te sluiten de overeenkomsten welke slechts een gebruik van de woonruimte betreffen dat naar zijn aard van korte duur is. De rechter zal van geval tot geval moeten beslissen of een huurovereenkomst wel of niet door de art.</w:t>
      </w:r>
      <w:hyperlink r:id="rId10" w:history="1">
        <w:r w:rsidR="008F74C7" w:rsidRPr="008E33DF">
          <w:rPr>
            <w:rStyle w:val="Hyperlink"/>
            <w:rFonts w:cs="Helvetica"/>
            <w:i/>
          </w:rPr>
          <w:t> 1623a-f BW</w:t>
        </w:r>
      </w:hyperlink>
      <w:r w:rsidR="008F74C7" w:rsidRPr="008E33DF">
        <w:rPr>
          <w:rFonts w:cs="Helvetica"/>
          <w:i/>
        </w:rPr>
        <w:t> wordt beheerst. Het is evenwel niet te verwachten dat het onderscheid tussen woonruimte die voor permanente bewoning wordt verhuurd en woonruimte welke slechts voor een tijdelijk gebruik wordt verhuurd veel moeilijkheden zal baren. In ieder geval kan worden gesteld dat deze moeilijkheden niet geringer zullen zijn wanneer zou worden gezocht naar een uitvoeriger uitgewerkt criterium. De globale maatstaf moet, mede gezien in het licht van de strekking van het gehele wetsontwerp, voldo</w:t>
      </w:r>
      <w:r w:rsidRPr="008E33DF">
        <w:rPr>
          <w:rFonts w:cs="Helvetica"/>
          <w:i/>
        </w:rPr>
        <w:t>ende zijn voor de wetstoepasser"</w:t>
      </w:r>
      <w:r w:rsidR="008F74C7" w:rsidRPr="008E33DF">
        <w:rPr>
          <w:rFonts w:cs="Helvetica"/>
          <w:i/>
        </w:rPr>
        <w:t>.</w:t>
      </w:r>
      <w:r w:rsidR="008F74C7" w:rsidRPr="008E33DF">
        <w:rPr>
          <w:rStyle w:val="Voetnootmarkering"/>
          <w:rFonts w:cs="Helvetica"/>
          <w:i/>
        </w:rPr>
        <w:footnoteReference w:id="18"/>
      </w:r>
    </w:p>
    <w:p w:rsidR="00B8058D" w:rsidRPr="008E33DF" w:rsidRDefault="00B8058D" w:rsidP="001D18A6">
      <w:pPr>
        <w:rPr>
          <w:rFonts w:cs="Helvetica"/>
          <w:i/>
        </w:rPr>
      </w:pPr>
    </w:p>
    <w:p w:rsidR="00A17E1F" w:rsidRPr="008E33DF" w:rsidRDefault="00D777C9" w:rsidP="001D18A6">
      <w:pPr>
        <w:rPr>
          <w:rFonts w:cs="Helvetica"/>
        </w:rPr>
      </w:pPr>
      <w:r w:rsidRPr="008E33DF">
        <w:rPr>
          <w:rFonts w:cs="Helvetica"/>
        </w:rPr>
        <w:t>Hierboven leest u</w:t>
      </w:r>
      <w:r w:rsidR="008F74C7" w:rsidRPr="008E33DF">
        <w:rPr>
          <w:rFonts w:cs="Helvetica"/>
        </w:rPr>
        <w:t xml:space="preserve"> dat bij de invoering van de </w:t>
      </w:r>
      <w:r w:rsidR="002F51E5" w:rsidRPr="008E33DF">
        <w:rPr>
          <w:rFonts w:cs="Helvetica"/>
        </w:rPr>
        <w:t>uitzonderingsbepaling</w:t>
      </w:r>
      <w:r w:rsidR="001A4A86" w:rsidRPr="008E33DF">
        <w:rPr>
          <w:rFonts w:cs="Helvetica"/>
        </w:rPr>
        <w:t xml:space="preserve"> de wetgever voor een zuiver feitelijk </w:t>
      </w:r>
      <w:r w:rsidR="008F74C7" w:rsidRPr="008E33DF">
        <w:rPr>
          <w:rFonts w:cs="Helvetica"/>
        </w:rPr>
        <w:t xml:space="preserve">criterium heeft gekozen om ontduiking </w:t>
      </w:r>
      <w:r w:rsidR="001A4A86" w:rsidRPr="008E33DF">
        <w:rPr>
          <w:rFonts w:cs="Helvetica"/>
        </w:rPr>
        <w:t xml:space="preserve">van de wettelijke regeling </w:t>
      </w:r>
      <w:r w:rsidR="008F74C7" w:rsidRPr="008E33DF">
        <w:rPr>
          <w:rFonts w:cs="Helvetica"/>
        </w:rPr>
        <w:t xml:space="preserve">te voorkomen. </w:t>
      </w:r>
      <w:r w:rsidR="001A4A86" w:rsidRPr="008E33DF">
        <w:rPr>
          <w:rFonts w:cs="Helvetica"/>
        </w:rPr>
        <w:t>Als er een duidelijk criterium zou worden</w:t>
      </w:r>
      <w:r w:rsidR="0049549B" w:rsidRPr="008E33DF">
        <w:rPr>
          <w:rFonts w:cs="Helvetica"/>
        </w:rPr>
        <w:t xml:space="preserve"> opgenomen zoals een bepaalde termijn, dan zou men </w:t>
      </w:r>
      <w:r w:rsidR="001A4A86" w:rsidRPr="008E33DF">
        <w:rPr>
          <w:rFonts w:cs="Helvetica"/>
        </w:rPr>
        <w:t xml:space="preserve">zich </w:t>
      </w:r>
      <w:r w:rsidR="0049549B" w:rsidRPr="008E33DF">
        <w:rPr>
          <w:rFonts w:cs="Helvetica"/>
        </w:rPr>
        <w:t xml:space="preserve">gemakkelijk kunnen beroepen op deze bepaling. </w:t>
      </w:r>
      <w:r w:rsidR="00A41BDC" w:rsidRPr="008E33DF">
        <w:rPr>
          <w:rFonts w:cs="Helvetica"/>
        </w:rPr>
        <w:t xml:space="preserve">De wetgever heeft met deze uitzonderingsbepaling gewild dat enkel de overeenkomsten worden uitgesloten waarbij het zeer duidelijk is dat het gaat om een overeenkomst </w:t>
      </w:r>
      <w:r w:rsidR="00BB5CA6" w:rsidRPr="008E33DF">
        <w:rPr>
          <w:rFonts w:cs="Helvetica"/>
        </w:rPr>
        <w:t>die</w:t>
      </w:r>
      <w:r w:rsidR="00A41BDC" w:rsidRPr="008E33DF">
        <w:rPr>
          <w:rFonts w:cs="Helvetica"/>
        </w:rPr>
        <w:t xml:space="preserve"> naar zijn aard van korte duur is. </w:t>
      </w:r>
    </w:p>
    <w:p w:rsidR="00F67C89" w:rsidRPr="008E33DF" w:rsidRDefault="00F67C89" w:rsidP="001D18A6">
      <w:pPr>
        <w:rPr>
          <w:rFonts w:cs="Helvetica"/>
        </w:rPr>
      </w:pPr>
    </w:p>
    <w:p w:rsidR="00A17E1F" w:rsidRPr="008E33DF" w:rsidRDefault="004742E5" w:rsidP="005E7558">
      <w:pPr>
        <w:pStyle w:val="Kop3"/>
      </w:pPr>
      <w:bookmarkStart w:id="22" w:name="_Toc454253651"/>
      <w:r w:rsidRPr="008E33DF">
        <w:lastRenderedPageBreak/>
        <w:t>3.1</w:t>
      </w:r>
      <w:r w:rsidR="00A17E1F" w:rsidRPr="008E33DF">
        <w:t xml:space="preserve">.2 Wetsvoorstel </w:t>
      </w:r>
      <w:r w:rsidR="005B52D2" w:rsidRPr="008E33DF">
        <w:t>B</w:t>
      </w:r>
      <w:r w:rsidR="00A17E1F" w:rsidRPr="008E33DF">
        <w:t>epalingen met betrekking tot huur en verhuur van woonruimte.</w:t>
      </w:r>
      <w:bookmarkEnd w:id="22"/>
    </w:p>
    <w:p w:rsidR="00A86011" w:rsidRPr="008E33DF" w:rsidRDefault="005B52D2" w:rsidP="001D18A6">
      <w:pPr>
        <w:rPr>
          <w:rFonts w:cs="Helvetica"/>
        </w:rPr>
      </w:pPr>
      <w:r w:rsidRPr="008E33DF">
        <w:rPr>
          <w:rFonts w:cs="Helvetica"/>
        </w:rPr>
        <w:t>Bij de invoering van het wetsvoorstel Bepalingen met betrekking tot huur</w:t>
      </w:r>
      <w:r w:rsidR="001A4A86" w:rsidRPr="008E33DF">
        <w:rPr>
          <w:rFonts w:cs="Helvetica"/>
        </w:rPr>
        <w:t xml:space="preserve"> en verhuur van woonruimte is het</w:t>
      </w:r>
      <w:r w:rsidRPr="008E33DF">
        <w:rPr>
          <w:rFonts w:cs="Helvetica"/>
        </w:rPr>
        <w:t xml:space="preserve"> criterium niet aangepast. Er is echter wel toegevoegd dat de bepaling zeer restrictief moet worden opgevat en dat het gaat om een uitzonderingsbepaling van een beperkte betekenis.</w:t>
      </w:r>
    </w:p>
    <w:p w:rsidR="005B52D2" w:rsidRPr="008E33DF" w:rsidRDefault="007B54D6" w:rsidP="001D18A6">
      <w:pPr>
        <w:rPr>
          <w:rFonts w:cs="Helvetica"/>
        </w:rPr>
      </w:pPr>
      <w:r w:rsidRPr="008E33DF">
        <w:rPr>
          <w:rFonts w:cs="Helvetica"/>
        </w:rPr>
        <w:t xml:space="preserve">Aldus minister de Ruiter: </w:t>
      </w:r>
    </w:p>
    <w:p w:rsidR="00B8058D" w:rsidRPr="008E33DF" w:rsidRDefault="00B8058D" w:rsidP="001D18A6">
      <w:pPr>
        <w:rPr>
          <w:rFonts w:cs="Helvetica"/>
        </w:rPr>
      </w:pPr>
    </w:p>
    <w:p w:rsidR="00B8058D" w:rsidRPr="008E33DF" w:rsidRDefault="009D5400" w:rsidP="005B52D2">
      <w:pPr>
        <w:rPr>
          <w:rFonts w:cs="Helvetica"/>
          <w:i/>
        </w:rPr>
      </w:pPr>
      <w:r w:rsidRPr="008E33DF">
        <w:rPr>
          <w:rFonts w:cs="Helvetica"/>
          <w:i/>
        </w:rPr>
        <w:t>"</w:t>
      </w:r>
      <w:r w:rsidR="005B52D2" w:rsidRPr="008E33DF">
        <w:rPr>
          <w:rFonts w:cs="Helvetica"/>
          <w:i/>
        </w:rPr>
        <w:t>Het gaat hier om het gebruik dat naar zijn aard van korte duur is. Het is dus een uitzonderingsbepaling</w:t>
      </w:r>
      <w:r w:rsidRPr="008E33DF">
        <w:rPr>
          <w:rFonts w:cs="Helvetica"/>
          <w:i/>
        </w:rPr>
        <w:t xml:space="preserve"> van een heel beperkte betekenis."</w:t>
      </w:r>
    </w:p>
    <w:p w:rsidR="007B54D6" w:rsidRPr="008E33DF" w:rsidRDefault="009D5400" w:rsidP="001D18A6">
      <w:pPr>
        <w:rPr>
          <w:rFonts w:cs="Helvetica"/>
        </w:rPr>
      </w:pPr>
      <w:r w:rsidRPr="008E33DF">
        <w:rPr>
          <w:rFonts w:cs="Helvetica"/>
          <w:i/>
        </w:rPr>
        <w:t>"</w:t>
      </w:r>
      <w:r w:rsidR="007B54D6" w:rsidRPr="008E33DF">
        <w:rPr>
          <w:rFonts w:cs="Helvetica"/>
          <w:i/>
        </w:rPr>
        <w:t>Het gaat dus om gevallen waarin voor iedereen duidelijk is dat er geen sprake kan en mag zijn van een beroep op huurbescherming. De bepaling moet dan ook in onze opstelling zeer restrictief worden opgevat</w:t>
      </w:r>
      <w:r w:rsidRPr="008E33DF">
        <w:rPr>
          <w:rFonts w:cs="Helvetica"/>
          <w:i/>
        </w:rPr>
        <w:t>."</w:t>
      </w:r>
      <w:r w:rsidR="007B54D6" w:rsidRPr="008E33DF">
        <w:rPr>
          <w:rStyle w:val="Voetnootmarkering"/>
          <w:rFonts w:cs="Helvetica"/>
          <w:i/>
        </w:rPr>
        <w:footnoteReference w:id="19"/>
      </w:r>
    </w:p>
    <w:p w:rsidR="005B52D2" w:rsidRPr="008E33DF" w:rsidRDefault="005B52D2" w:rsidP="001D18A6">
      <w:pPr>
        <w:rPr>
          <w:rFonts w:cs="Helvetica"/>
        </w:rPr>
      </w:pPr>
    </w:p>
    <w:p w:rsidR="005B52D2" w:rsidRPr="008E33DF" w:rsidRDefault="005B52D2" w:rsidP="005E7558">
      <w:pPr>
        <w:pStyle w:val="Kop3"/>
      </w:pPr>
      <w:bookmarkStart w:id="23" w:name="_Toc454253652"/>
      <w:r w:rsidRPr="008E33DF">
        <w:t>3.</w:t>
      </w:r>
      <w:r w:rsidR="004742E5" w:rsidRPr="008E33DF">
        <w:t>1</w:t>
      </w:r>
      <w:r w:rsidRPr="008E33DF">
        <w:t>.3 Invoering titel 7.4</w:t>
      </w:r>
      <w:bookmarkEnd w:id="23"/>
    </w:p>
    <w:p w:rsidR="00694A30" w:rsidRPr="008E33DF" w:rsidRDefault="0049549B" w:rsidP="001D18A6">
      <w:pPr>
        <w:rPr>
          <w:rFonts w:cs="Helvetica"/>
        </w:rPr>
      </w:pPr>
      <w:r w:rsidRPr="008E33DF">
        <w:rPr>
          <w:rFonts w:cs="Helvetica"/>
        </w:rPr>
        <w:t>Bij de</w:t>
      </w:r>
      <w:r w:rsidR="00694A30" w:rsidRPr="008E33DF">
        <w:rPr>
          <w:rFonts w:cs="Helvetica"/>
        </w:rPr>
        <w:t xml:space="preserve"> invoering van titel 7.4</w:t>
      </w:r>
      <w:r w:rsidRPr="008E33DF">
        <w:rPr>
          <w:rFonts w:cs="Helvetica"/>
        </w:rPr>
        <w:t xml:space="preserve"> is opnieuw</w:t>
      </w:r>
      <w:r w:rsidR="001A4A86" w:rsidRPr="008E33DF">
        <w:rPr>
          <w:rFonts w:cs="Helvetica"/>
        </w:rPr>
        <w:t xml:space="preserve"> het</w:t>
      </w:r>
      <w:r w:rsidR="00694A30" w:rsidRPr="008E33DF">
        <w:rPr>
          <w:rFonts w:cs="Helvetica"/>
        </w:rPr>
        <w:t xml:space="preserve"> criterium niet aangepast. </w:t>
      </w:r>
      <w:r w:rsidR="001A4A86" w:rsidRPr="008E33DF">
        <w:rPr>
          <w:rFonts w:cs="Helvetica"/>
        </w:rPr>
        <w:t>De M</w:t>
      </w:r>
      <w:r w:rsidR="001D18A6" w:rsidRPr="008E33DF">
        <w:rPr>
          <w:rFonts w:cs="Helvetica"/>
        </w:rPr>
        <w:t xml:space="preserve">emorie van </w:t>
      </w:r>
      <w:r w:rsidR="001A4A86" w:rsidRPr="008E33DF">
        <w:rPr>
          <w:rFonts w:cs="Helvetica"/>
        </w:rPr>
        <w:t>T</w:t>
      </w:r>
      <w:r w:rsidR="001D18A6" w:rsidRPr="008E33DF">
        <w:rPr>
          <w:rFonts w:cs="Helvetica"/>
        </w:rPr>
        <w:t>oelichting</w:t>
      </w:r>
      <w:r w:rsidR="001A4A86" w:rsidRPr="008E33DF">
        <w:rPr>
          <w:rFonts w:cs="Helvetica"/>
        </w:rPr>
        <w:t xml:space="preserve"> bij het</w:t>
      </w:r>
      <w:r w:rsidR="009D5400" w:rsidRPr="008E33DF">
        <w:rPr>
          <w:rFonts w:cs="Helvetica"/>
        </w:rPr>
        <w:t xml:space="preserve"> </w:t>
      </w:r>
      <w:r w:rsidR="00694A30" w:rsidRPr="008E33DF">
        <w:rPr>
          <w:rFonts w:ascii="ArialUnicodeMS_PDF_Subset" w:hAnsi="ArialUnicodeMS_PDF_Subset" w:cs="ArialUnicodeMS_PDF_Subset"/>
        </w:rPr>
        <w:t xml:space="preserve">Voorstel van wet tot Vaststelling van titel 7.4 (Huur) van het Burgerlijk Wetboek </w:t>
      </w:r>
      <w:r w:rsidR="00694A30" w:rsidRPr="008E33DF">
        <w:rPr>
          <w:rFonts w:cs="Helvetica"/>
        </w:rPr>
        <w:t>geeft de volgende uitleg:</w:t>
      </w:r>
    </w:p>
    <w:p w:rsidR="00B8058D" w:rsidRPr="008E33DF" w:rsidRDefault="00B8058D" w:rsidP="001D18A6">
      <w:pPr>
        <w:rPr>
          <w:rFonts w:cs="Helvetica"/>
        </w:rPr>
      </w:pPr>
    </w:p>
    <w:p w:rsidR="001D18A6" w:rsidRPr="008E33DF" w:rsidRDefault="009D5400" w:rsidP="001D18A6">
      <w:pPr>
        <w:rPr>
          <w:rFonts w:cs="Helvetica"/>
          <w:i/>
        </w:rPr>
      </w:pPr>
      <w:r w:rsidRPr="008E33DF">
        <w:rPr>
          <w:rFonts w:cs="Helvetica"/>
          <w:i/>
        </w:rPr>
        <w:t>"</w:t>
      </w:r>
      <w:r w:rsidR="007B54D6" w:rsidRPr="008E33DF">
        <w:rPr>
          <w:rFonts w:cs="Helvetica"/>
          <w:i/>
        </w:rPr>
        <w:t>Het huidige criterium ‘naar zijn aard slechts van korte duur’ is gehandhaafd.</w:t>
      </w:r>
      <w:r w:rsidRPr="008E33DF">
        <w:rPr>
          <w:rFonts w:cs="Helvetica"/>
          <w:i/>
        </w:rPr>
        <w:t xml:space="preserve"> </w:t>
      </w:r>
      <w:r w:rsidR="001D18A6" w:rsidRPr="008E33DF">
        <w:rPr>
          <w:rFonts w:cs="Helvetica"/>
          <w:i/>
        </w:rPr>
        <w:t>Gedacht moet hierbij worden aan overeenkomsten tot het gebruik van vakantiewoningen, hotel- en pensionverblijven, wisselwoningen e.d.. Om misbruik tegen te gaan is indertijd gekozen voor een zuiver feitelijk criterium in plaats van de duur van de huurovereenkomst. Zou men een bepaalde termijn in de wet opnemen dan zou dat tot gevolg kunnen hebben dat bijv. in geval een verhuurder in verband met een door hem voorgenomen renovatie aan zijn huurders zg. wisselwoningen ter beschikking stelt, na het verstrijken van de termijn de huur(prijs)-bescherming van toepassing zou worden.</w:t>
      </w:r>
      <w:r w:rsidRPr="008E33DF">
        <w:rPr>
          <w:rFonts w:cs="Helvetica"/>
          <w:i/>
        </w:rPr>
        <w:t>"</w:t>
      </w:r>
      <w:r w:rsidR="001D18A6" w:rsidRPr="008E33DF">
        <w:rPr>
          <w:rFonts w:cs="Helvetica"/>
          <w:i/>
          <w:vertAlign w:val="superscript"/>
        </w:rPr>
        <w:footnoteReference w:id="20"/>
      </w:r>
    </w:p>
    <w:p w:rsidR="00B8058D" w:rsidRPr="008E33DF" w:rsidRDefault="00B8058D" w:rsidP="001D18A6">
      <w:pPr>
        <w:rPr>
          <w:rFonts w:cs="Helvetica"/>
        </w:rPr>
      </w:pPr>
    </w:p>
    <w:p w:rsidR="004742E5" w:rsidRPr="008E33DF" w:rsidRDefault="004742E5" w:rsidP="005E7558">
      <w:pPr>
        <w:pStyle w:val="Kop3"/>
      </w:pPr>
      <w:bookmarkStart w:id="24" w:name="_Toc454253653"/>
      <w:r w:rsidRPr="008E33DF">
        <w:t>3.1.4 Terughoudendheid</w:t>
      </w:r>
      <w:bookmarkEnd w:id="24"/>
    </w:p>
    <w:p w:rsidR="00BE1883" w:rsidRPr="008E33DF" w:rsidRDefault="00BB5CA6" w:rsidP="00BE1883">
      <w:pPr>
        <w:rPr>
          <w:rFonts w:cs="Helvetica"/>
        </w:rPr>
      </w:pPr>
      <w:r w:rsidRPr="008E33DF">
        <w:rPr>
          <w:rFonts w:cs="Helvetica"/>
        </w:rPr>
        <w:t>D</w:t>
      </w:r>
      <w:r w:rsidR="001A4A86" w:rsidRPr="008E33DF">
        <w:rPr>
          <w:rFonts w:cs="Helvetica"/>
        </w:rPr>
        <w:t>oor de jaren heen</w:t>
      </w:r>
      <w:r w:rsidRPr="008E33DF">
        <w:rPr>
          <w:rFonts w:cs="Helvetica"/>
        </w:rPr>
        <w:t xml:space="preserve"> is</w:t>
      </w:r>
      <w:r w:rsidR="001A4A86" w:rsidRPr="008E33DF">
        <w:rPr>
          <w:rFonts w:cs="Helvetica"/>
        </w:rPr>
        <w:t xml:space="preserve"> het</w:t>
      </w:r>
      <w:r w:rsidR="005B52D2" w:rsidRPr="008E33DF">
        <w:rPr>
          <w:rFonts w:cs="Helvetica"/>
        </w:rPr>
        <w:t xml:space="preserve"> criterium van de uitzonderingsbepaling niet aangepast. De wetgever </w:t>
      </w:r>
      <w:r w:rsidR="00CD62EC" w:rsidRPr="008E33DF">
        <w:rPr>
          <w:rFonts w:cs="Helvetica"/>
        </w:rPr>
        <w:t xml:space="preserve">heeft gewild dat de rechters van geval tot geval moeten beslissen of een beroep op deze uitzonderingsbepaling gegrond is. Bij het toepassen van de uitzonderingsbepaling moeten de rechters terughoudend zijn. </w:t>
      </w:r>
    </w:p>
    <w:p w:rsidR="00B8058D" w:rsidRPr="008E33DF" w:rsidRDefault="00B8058D" w:rsidP="00BE1883">
      <w:pPr>
        <w:rPr>
          <w:rFonts w:cs="Helvetica"/>
          <w:b/>
          <w:color w:val="548DD4" w:themeColor="text2" w:themeTint="99"/>
        </w:rPr>
      </w:pPr>
    </w:p>
    <w:p w:rsidR="00BE1883" w:rsidRPr="008E33DF" w:rsidRDefault="00BE1883" w:rsidP="005E7558">
      <w:pPr>
        <w:pStyle w:val="Kop2"/>
      </w:pPr>
      <w:bookmarkStart w:id="25" w:name="_Toc454253654"/>
      <w:r w:rsidRPr="008E33DF">
        <w:t>3.2</w:t>
      </w:r>
      <w:r w:rsidR="009D5400" w:rsidRPr="008E33DF">
        <w:t xml:space="preserve"> </w:t>
      </w:r>
      <w:r w:rsidRPr="008E33DF">
        <w:t>Beoordeling</w:t>
      </w:r>
      <w:bookmarkEnd w:id="25"/>
    </w:p>
    <w:p w:rsidR="00BE1883" w:rsidRPr="008E33DF" w:rsidRDefault="00BE1883" w:rsidP="005E7558">
      <w:pPr>
        <w:pStyle w:val="Kop3"/>
      </w:pPr>
      <w:bookmarkStart w:id="26" w:name="_Toc454253655"/>
      <w:r w:rsidRPr="008E33DF">
        <w:t>3.2.1 Beoordelingsfactoren</w:t>
      </w:r>
      <w:bookmarkEnd w:id="26"/>
    </w:p>
    <w:p w:rsidR="00B8058D" w:rsidRPr="008E33DF" w:rsidRDefault="007578A7">
      <w:pPr>
        <w:rPr>
          <w:rFonts w:cs="Helvetica"/>
        </w:rPr>
      </w:pPr>
      <w:r w:rsidRPr="008E33DF">
        <w:rPr>
          <w:rFonts w:cs="Helvetica"/>
        </w:rPr>
        <w:t xml:space="preserve">In de vorige paragraaf hebben </w:t>
      </w:r>
      <w:r w:rsidR="00BB5CA6" w:rsidRPr="008E33DF">
        <w:rPr>
          <w:rFonts w:cs="Helvetica"/>
        </w:rPr>
        <w:t>is</w:t>
      </w:r>
      <w:r w:rsidRPr="008E33DF">
        <w:rPr>
          <w:rFonts w:cs="Helvetica"/>
        </w:rPr>
        <w:t xml:space="preserve"> de terughoudendheid besproken. De wetgever heeft gewild dat rechters terughoudend moeten zijn bij het aannemen van de uitzonderingsbepaling. De terughoudendheid is in de rechtspraak ook gevolgd. </w:t>
      </w:r>
      <w:r w:rsidR="00F71939" w:rsidRPr="008E33DF">
        <w:rPr>
          <w:rFonts w:cs="Helvetica"/>
        </w:rPr>
        <w:t>Een toona</w:t>
      </w:r>
      <w:r w:rsidR="001A4A86" w:rsidRPr="008E33DF">
        <w:rPr>
          <w:rFonts w:cs="Helvetica"/>
        </w:rPr>
        <w:t xml:space="preserve">angevende </w:t>
      </w:r>
      <w:r w:rsidR="0022336A" w:rsidRPr="008E33DF">
        <w:rPr>
          <w:rFonts w:cs="Helvetica"/>
        </w:rPr>
        <w:t xml:space="preserve">uitspraak uit de jurisprudentie </w:t>
      </w:r>
      <w:r w:rsidR="00F71939" w:rsidRPr="008E33DF">
        <w:rPr>
          <w:rFonts w:cs="Helvetica"/>
        </w:rPr>
        <w:t xml:space="preserve">is de </w:t>
      </w:r>
      <w:r w:rsidR="001A4A86" w:rsidRPr="008E33DF">
        <w:rPr>
          <w:rFonts w:cs="Helvetica"/>
        </w:rPr>
        <w:t xml:space="preserve">uitspraak van de Hoge Raad van </w:t>
      </w:r>
      <w:r w:rsidR="00F71939" w:rsidRPr="008E33DF">
        <w:rPr>
          <w:rFonts w:cs="Helvetica"/>
        </w:rPr>
        <w:t xml:space="preserve">8 januari 1999: </w:t>
      </w:r>
    </w:p>
    <w:p w:rsidR="00BB5CA6" w:rsidRPr="008E33DF" w:rsidRDefault="00BB5CA6">
      <w:pPr>
        <w:rPr>
          <w:rFonts w:cs="Helvetica"/>
        </w:rPr>
      </w:pPr>
    </w:p>
    <w:p w:rsidR="007578A7" w:rsidRPr="008E33DF" w:rsidRDefault="009D5400">
      <w:pPr>
        <w:rPr>
          <w:rFonts w:cs="Helvetica"/>
          <w:i/>
        </w:rPr>
      </w:pPr>
      <w:r w:rsidRPr="008E33DF">
        <w:rPr>
          <w:rFonts w:cs="Helvetica"/>
          <w:i/>
        </w:rPr>
        <w:lastRenderedPageBreak/>
        <w:t>"</w:t>
      </w:r>
      <w:r w:rsidR="00F71939" w:rsidRPr="008E33DF">
        <w:rPr>
          <w:rFonts w:cs="Helvetica"/>
          <w:i/>
        </w:rPr>
        <w:t>Uit de tekst van art. 1623</w:t>
      </w:r>
      <w:r w:rsidR="00F71939" w:rsidRPr="008E33DF">
        <w:rPr>
          <w:rFonts w:cs="Helvetica"/>
          <w:i/>
          <w:iCs/>
        </w:rPr>
        <w:t>a</w:t>
      </w:r>
      <w:r w:rsidR="00F71939" w:rsidRPr="008E33DF">
        <w:rPr>
          <w:rFonts w:cs="Helvetica"/>
          <w:i/>
        </w:rPr>
        <w:t> lid 1 en uit de bij de totstandkoming van die bepaling gegeven toelichtingen zoals hiervoor vermeld, moet worden afgeleid dat terughoudendheid past bij bevestigende beantwoording van de vraag of zich het in die bepaling bedoelde uitzonderingsgeval voordoet. Bij beantwoording van die vraag moet voorts worden gelet op de aard van het gebruik en die van de woning alsmede op hetgeen partijen omtrent de duur van het gebruik voor ogen heeft gestaan.</w:t>
      </w:r>
      <w:r w:rsidRPr="008E33DF">
        <w:rPr>
          <w:rFonts w:cs="Helvetica"/>
          <w:i/>
        </w:rPr>
        <w:t>"</w:t>
      </w:r>
      <w:r w:rsidR="00B70802" w:rsidRPr="008E33DF">
        <w:rPr>
          <w:rStyle w:val="Voetnootmarkering"/>
          <w:rFonts w:cs="Helvetica"/>
          <w:i/>
        </w:rPr>
        <w:footnoteReference w:id="21"/>
      </w:r>
    </w:p>
    <w:p w:rsidR="00B8058D" w:rsidRPr="008E33DF" w:rsidRDefault="00B8058D">
      <w:pPr>
        <w:rPr>
          <w:rFonts w:cs="Helvetica"/>
          <w:i/>
        </w:rPr>
      </w:pPr>
    </w:p>
    <w:p w:rsidR="00504F3F" w:rsidRPr="008E33DF" w:rsidRDefault="000D531D">
      <w:pPr>
        <w:rPr>
          <w:rFonts w:cs="Helvetica"/>
        </w:rPr>
      </w:pPr>
      <w:r w:rsidRPr="008E33DF">
        <w:rPr>
          <w:rFonts w:cs="Helvetica"/>
        </w:rPr>
        <w:t>De Hoge Raad geeft hier aan dat de</w:t>
      </w:r>
      <w:r w:rsidR="0079319F" w:rsidRPr="008E33DF">
        <w:rPr>
          <w:rFonts w:cs="Helvetica"/>
        </w:rPr>
        <w:t xml:space="preserve"> positieve</w:t>
      </w:r>
      <w:r w:rsidRPr="008E33DF">
        <w:rPr>
          <w:rFonts w:cs="Helvetica"/>
        </w:rPr>
        <w:t xml:space="preserve"> beantwoording van de vraag</w:t>
      </w:r>
      <w:r w:rsidR="00BB5CA6" w:rsidRPr="008E33DF">
        <w:rPr>
          <w:rFonts w:cs="Helvetica"/>
        </w:rPr>
        <w:t>,</w:t>
      </w:r>
      <w:r w:rsidRPr="008E33DF">
        <w:rPr>
          <w:rFonts w:cs="Helvetica"/>
        </w:rPr>
        <w:t xml:space="preserve"> of er sprake is van de uitzonderingsgrond</w:t>
      </w:r>
      <w:r w:rsidR="00BB5CA6" w:rsidRPr="008E33DF">
        <w:rPr>
          <w:rFonts w:cs="Helvetica"/>
        </w:rPr>
        <w:t>,</w:t>
      </w:r>
      <w:r w:rsidR="00BA7DFF" w:rsidRPr="008E33DF">
        <w:rPr>
          <w:rFonts w:cs="Helvetica"/>
        </w:rPr>
        <w:t xml:space="preserve"> terughoudendheid verdient. Daarnaast noemt de rechter een viertal b</w:t>
      </w:r>
      <w:r w:rsidR="00BB5CA6" w:rsidRPr="008E33DF">
        <w:rPr>
          <w:rFonts w:cs="Helvetica"/>
        </w:rPr>
        <w:t>eoordelingsfactoren,namelijk</w:t>
      </w:r>
      <w:r w:rsidR="0079319F" w:rsidRPr="008E33DF">
        <w:rPr>
          <w:rFonts w:cs="Helvetica"/>
        </w:rPr>
        <w:t xml:space="preserve"> de a</w:t>
      </w:r>
      <w:r w:rsidR="00BA7DFF" w:rsidRPr="008E33DF">
        <w:rPr>
          <w:rFonts w:cs="Helvetica"/>
        </w:rPr>
        <w:t xml:space="preserve">ard van </w:t>
      </w:r>
      <w:r w:rsidR="009409BC" w:rsidRPr="008E33DF">
        <w:rPr>
          <w:rFonts w:cs="Helvetica"/>
        </w:rPr>
        <w:t>het gehuurde</w:t>
      </w:r>
      <w:r w:rsidR="0079319F" w:rsidRPr="008E33DF">
        <w:rPr>
          <w:rFonts w:cs="Helvetica"/>
        </w:rPr>
        <w:t>, aard van het gebruik,</w:t>
      </w:r>
      <w:r w:rsidR="00BA7DFF" w:rsidRPr="008E33DF">
        <w:rPr>
          <w:rFonts w:cs="Helvetica"/>
        </w:rPr>
        <w:t xml:space="preserve">bedoelingen van </w:t>
      </w:r>
      <w:r w:rsidR="00504F3F" w:rsidRPr="008E33DF">
        <w:rPr>
          <w:rFonts w:cs="Helvetica"/>
        </w:rPr>
        <w:t>partijen</w:t>
      </w:r>
      <w:r w:rsidR="009409BC" w:rsidRPr="008E33DF">
        <w:rPr>
          <w:rFonts w:cs="Helvetica"/>
        </w:rPr>
        <w:t xml:space="preserve"> bij de overeenkomst en de e</w:t>
      </w:r>
      <w:r w:rsidR="00C124D1" w:rsidRPr="008E33DF">
        <w:rPr>
          <w:rFonts w:cs="Helvetica"/>
        </w:rPr>
        <w:t xml:space="preserve">ffectuering daarvan (hierna: </w:t>
      </w:r>
      <w:r w:rsidR="009409BC" w:rsidRPr="008E33DF">
        <w:rPr>
          <w:rFonts w:cs="Helvetica"/>
        </w:rPr>
        <w:t>bedoelingen van partijen)</w:t>
      </w:r>
      <w:r w:rsidR="00504F3F" w:rsidRPr="008E33DF">
        <w:rPr>
          <w:rFonts w:cs="Helvetica"/>
        </w:rPr>
        <w:t xml:space="preserve"> en de duur van het gebruik.</w:t>
      </w:r>
      <w:r w:rsidR="009D5400" w:rsidRPr="008E33DF">
        <w:rPr>
          <w:rFonts w:cs="Helvetica"/>
        </w:rPr>
        <w:t xml:space="preserve"> </w:t>
      </w:r>
      <w:r w:rsidR="00504F3F" w:rsidRPr="008E33DF">
        <w:rPr>
          <w:rFonts w:cs="Helvetica"/>
        </w:rPr>
        <w:t xml:space="preserve">Hoe de rechtspraak omgaat met deze beoordelingsfactoren </w:t>
      </w:r>
      <w:r w:rsidR="00BB5CA6" w:rsidRPr="008E33DF">
        <w:rPr>
          <w:rFonts w:cs="Helvetica"/>
        </w:rPr>
        <w:t>komt</w:t>
      </w:r>
      <w:r w:rsidR="00504F3F" w:rsidRPr="008E33DF">
        <w:rPr>
          <w:rFonts w:cs="Helvetica"/>
        </w:rPr>
        <w:t xml:space="preserve"> in het volgende hoofdstuk uitvoerig </w:t>
      </w:r>
      <w:r w:rsidR="0079319F" w:rsidRPr="008E33DF">
        <w:rPr>
          <w:rFonts w:cs="Helvetica"/>
        </w:rPr>
        <w:t>aan bod</w:t>
      </w:r>
      <w:r w:rsidR="00504F3F" w:rsidRPr="008E33DF">
        <w:rPr>
          <w:rFonts w:cs="Helvetica"/>
        </w:rPr>
        <w:t>.</w:t>
      </w:r>
    </w:p>
    <w:p w:rsidR="00B8058D" w:rsidRPr="008E33DF" w:rsidRDefault="00B8058D">
      <w:pPr>
        <w:rPr>
          <w:rFonts w:cs="Helvetica"/>
        </w:rPr>
      </w:pPr>
    </w:p>
    <w:p w:rsidR="00F71939" w:rsidRPr="008E33DF" w:rsidRDefault="00D7597A" w:rsidP="005E7558">
      <w:pPr>
        <w:pStyle w:val="Kop3"/>
      </w:pPr>
      <w:bookmarkStart w:id="27" w:name="_Toc454253656"/>
      <w:r w:rsidRPr="008E33DF">
        <w:t>3.2.2</w:t>
      </w:r>
      <w:r w:rsidR="00C64B20" w:rsidRPr="008E33DF">
        <w:t xml:space="preserve"> Woning in afwachting van sloop</w:t>
      </w:r>
      <w:bookmarkEnd w:id="27"/>
    </w:p>
    <w:p w:rsidR="00C64B20" w:rsidRPr="008E33DF" w:rsidRDefault="00B67E5F">
      <w:pPr>
        <w:rPr>
          <w:rFonts w:cs="Helvetica"/>
        </w:rPr>
      </w:pPr>
      <w:r w:rsidRPr="008E33DF">
        <w:rPr>
          <w:rFonts w:cs="Helvetica"/>
        </w:rPr>
        <w:t>In de uitspraak van de Hoge Raad van 30 mei 1975 rijst de vraag of de huur van woonruimte in afwachting van sloop kan worden aangemerkt</w:t>
      </w:r>
      <w:r w:rsidR="00673802" w:rsidRPr="008E33DF">
        <w:rPr>
          <w:rFonts w:cs="Helvetica"/>
        </w:rPr>
        <w:t xml:space="preserve"> als huur van woonruimte die</w:t>
      </w:r>
      <w:r w:rsidRPr="008E33DF">
        <w:rPr>
          <w:rFonts w:cs="Helvetica"/>
        </w:rPr>
        <w:t xml:space="preserve"> naar zijn aard van korte duur is. In de</w:t>
      </w:r>
      <w:r w:rsidR="006E08EA" w:rsidRPr="008E33DF">
        <w:rPr>
          <w:rFonts w:cs="Helvetica"/>
        </w:rPr>
        <w:t>ze</w:t>
      </w:r>
      <w:r w:rsidRPr="008E33DF">
        <w:rPr>
          <w:rFonts w:cs="Helvetica"/>
        </w:rPr>
        <w:t xml:space="preserve"> zaak heeft de Hoge Raad beoordeeld dat de aard van de woning de aard van het gebruik kan bepalen. Een woning die </w:t>
      </w:r>
      <w:r w:rsidR="006E08EA" w:rsidRPr="008E33DF">
        <w:rPr>
          <w:rFonts w:cs="Helvetica"/>
        </w:rPr>
        <w:t>op de</w:t>
      </w:r>
      <w:r w:rsidRPr="008E33DF">
        <w:rPr>
          <w:rFonts w:cs="Helvetica"/>
        </w:rPr>
        <w:t xml:space="preserve"> nominatie staat voor sloop, beperkt namelijk het gebruik in duur. De duur van de bewoning is begrensd tot het moment dat de woonruimte gesloopt zal worden. De Hoge Raad is van oordeel dat een dergelijke huur kan worden aangem</w:t>
      </w:r>
      <w:r w:rsidR="00673802" w:rsidRPr="008E33DF">
        <w:rPr>
          <w:rFonts w:cs="Helvetica"/>
        </w:rPr>
        <w:t>erkt als huur van woonruimte die</w:t>
      </w:r>
      <w:r w:rsidRPr="008E33DF">
        <w:rPr>
          <w:rFonts w:cs="Helvetica"/>
        </w:rPr>
        <w:t xml:space="preserve"> naar zijn aard van korte duur is.</w:t>
      </w:r>
      <w:r w:rsidR="00DD0864" w:rsidRPr="008E33DF">
        <w:rPr>
          <w:rStyle w:val="Voetnootmarkering"/>
          <w:rFonts w:cs="Helvetica"/>
        </w:rPr>
        <w:footnoteReference w:id="22"/>
      </w:r>
    </w:p>
    <w:p w:rsidR="00B8058D" w:rsidRPr="008E33DF" w:rsidRDefault="00B8058D">
      <w:pPr>
        <w:rPr>
          <w:rFonts w:cs="Helvetica"/>
        </w:rPr>
      </w:pPr>
    </w:p>
    <w:p w:rsidR="00DD0864" w:rsidRPr="008E33DF" w:rsidRDefault="00DD0864" w:rsidP="005E7558">
      <w:pPr>
        <w:pStyle w:val="Kop3"/>
      </w:pPr>
      <w:bookmarkStart w:id="28" w:name="_Toc454253657"/>
      <w:r w:rsidRPr="008E33DF">
        <w:t>3.2</w:t>
      </w:r>
      <w:r w:rsidR="00D7597A" w:rsidRPr="008E33DF">
        <w:t>.3</w:t>
      </w:r>
      <w:r w:rsidRPr="008E33DF">
        <w:t xml:space="preserve"> Voorbeelden</w:t>
      </w:r>
      <w:bookmarkEnd w:id="28"/>
    </w:p>
    <w:p w:rsidR="00DD0864" w:rsidRPr="008E33DF" w:rsidRDefault="00DD0864" w:rsidP="00DD0864">
      <w:pPr>
        <w:rPr>
          <w:rFonts w:ascii="ArialUnicodeMS_PDF_Subset" w:hAnsi="ArialUnicodeMS_PDF_Subset" w:cs="ArialUnicodeMS_PDF_Subset"/>
        </w:rPr>
      </w:pPr>
      <w:r w:rsidRPr="008E33DF">
        <w:rPr>
          <w:rFonts w:cs="Helvetica"/>
        </w:rPr>
        <w:t xml:space="preserve">Bij de behandeling van de wetsgeschiedenis </w:t>
      </w:r>
      <w:r w:rsidR="006E08EA" w:rsidRPr="008E33DF">
        <w:rPr>
          <w:rFonts w:cs="Helvetica"/>
        </w:rPr>
        <w:t>zijn enkele voorbeelden genoemd van de</w:t>
      </w:r>
      <w:r w:rsidRPr="008E33DF">
        <w:rPr>
          <w:rFonts w:cs="Helvetica"/>
        </w:rPr>
        <w:t xml:space="preserve"> parlementaire geschiedenis</w:t>
      </w:r>
      <w:r w:rsidR="006E08EA" w:rsidRPr="008E33DF">
        <w:rPr>
          <w:rFonts w:cs="Helvetica"/>
        </w:rPr>
        <w:t>,</w:t>
      </w:r>
      <w:r w:rsidRPr="008E33DF">
        <w:rPr>
          <w:rFonts w:cs="Helvetica"/>
        </w:rPr>
        <w:t xml:space="preserve"> die op grond van de uitzonderingsbepaling uitgesloten dienen te worden. </w:t>
      </w:r>
      <w:r w:rsidR="00B8058D" w:rsidRPr="008E33DF">
        <w:rPr>
          <w:rFonts w:cs="Helvetica"/>
        </w:rPr>
        <w:t>In</w:t>
      </w:r>
      <w:r w:rsidRPr="008E33DF">
        <w:rPr>
          <w:rFonts w:cs="Helvetica"/>
        </w:rPr>
        <w:t xml:space="preserve"> de </w:t>
      </w:r>
      <w:r w:rsidR="007D31A4" w:rsidRPr="008E33DF">
        <w:rPr>
          <w:rFonts w:cs="Helvetica"/>
        </w:rPr>
        <w:t>Memorie van T</w:t>
      </w:r>
      <w:r w:rsidRPr="008E33DF">
        <w:rPr>
          <w:rFonts w:cs="Helvetica"/>
        </w:rPr>
        <w:t>oelichting</w:t>
      </w:r>
      <w:r w:rsidR="007D31A4" w:rsidRPr="008E33DF">
        <w:rPr>
          <w:rFonts w:cs="Helvetica"/>
        </w:rPr>
        <w:t xml:space="preserve"> bij h</w:t>
      </w:r>
      <w:r w:rsidRPr="008E33DF">
        <w:rPr>
          <w:rFonts w:cs="Helvetica"/>
        </w:rPr>
        <w:t>e</w:t>
      </w:r>
      <w:r w:rsidR="007D31A4" w:rsidRPr="008E33DF">
        <w:rPr>
          <w:rFonts w:cs="Helvetica"/>
        </w:rPr>
        <w:t>t</w:t>
      </w:r>
      <w:r w:rsidR="009D5400" w:rsidRPr="008E33DF">
        <w:rPr>
          <w:rFonts w:cs="Helvetica"/>
        </w:rPr>
        <w:t xml:space="preserve"> </w:t>
      </w:r>
      <w:r w:rsidRPr="008E33DF">
        <w:rPr>
          <w:rFonts w:ascii="ArialUnicodeMS_PDF_Subset" w:hAnsi="ArialUnicodeMS_PDF_Subset" w:cs="ArialUnicodeMS_PDF_Subset"/>
        </w:rPr>
        <w:t>Voorstel van wet tot Vaststelling van titel 7.4 (Huur) van het Burgerlijk Wetboek wordt genoemd:</w:t>
      </w:r>
      <w:r w:rsidR="008A30B1" w:rsidRPr="008E33DF">
        <w:rPr>
          <w:rFonts w:cs="Helvetica"/>
        </w:rPr>
        <w:t>d</w:t>
      </w:r>
      <w:r w:rsidRPr="008E33DF">
        <w:rPr>
          <w:rFonts w:cs="Helvetica"/>
        </w:rPr>
        <w:t>e vakantiewoningen, hotel- en pensionverblijven en wisselwoningen.</w:t>
      </w:r>
      <w:r w:rsidRPr="008E33DF">
        <w:rPr>
          <w:rStyle w:val="Voetnootmarkering"/>
          <w:rFonts w:cs="Helvetica"/>
        </w:rPr>
        <w:footnoteReference w:id="23"/>
      </w:r>
    </w:p>
    <w:p w:rsidR="00AE5E99" w:rsidRPr="008E33DF" w:rsidRDefault="00AE5E99" w:rsidP="004742E5">
      <w:pPr>
        <w:rPr>
          <w:rFonts w:cs="Helvetica"/>
          <w:b/>
          <w:color w:val="548DD4" w:themeColor="text2" w:themeTint="99"/>
        </w:rPr>
      </w:pPr>
    </w:p>
    <w:p w:rsidR="00EE4332" w:rsidRPr="008E33DF" w:rsidRDefault="004742E5" w:rsidP="00EE4332">
      <w:pPr>
        <w:pStyle w:val="Kop2"/>
      </w:pPr>
      <w:bookmarkStart w:id="29" w:name="_Toc454253658"/>
      <w:r w:rsidRPr="008E33DF">
        <w:t>3.</w:t>
      </w:r>
      <w:r w:rsidR="00BE1883" w:rsidRPr="008E33DF">
        <w:t xml:space="preserve">3 </w:t>
      </w:r>
      <w:r w:rsidRPr="008E33DF">
        <w:t>Uitweg</w:t>
      </w:r>
      <w:bookmarkEnd w:id="29"/>
    </w:p>
    <w:p w:rsidR="00B747AB" w:rsidRPr="008E33DF" w:rsidRDefault="00BE1883" w:rsidP="00EE4332">
      <w:pPr>
        <w:pStyle w:val="Kop3"/>
      </w:pPr>
      <w:bookmarkStart w:id="30" w:name="_Toc454253659"/>
      <w:r w:rsidRPr="008E33DF">
        <w:t>3.3</w:t>
      </w:r>
      <w:r w:rsidR="00B747AB" w:rsidRPr="008E33DF">
        <w:t>.1 Uitsluiten huurbescherming</w:t>
      </w:r>
      <w:bookmarkEnd w:id="30"/>
    </w:p>
    <w:p w:rsidR="004742E5" w:rsidRPr="008E33DF" w:rsidRDefault="009D5400" w:rsidP="004742E5">
      <w:pPr>
        <w:rPr>
          <w:rFonts w:cs="Helvetica"/>
        </w:rPr>
      </w:pPr>
      <w:r w:rsidRPr="008E33DF">
        <w:rPr>
          <w:rFonts w:cs="Helvetica"/>
          <w:i/>
        </w:rPr>
        <w:t>"</w:t>
      </w:r>
      <w:r w:rsidR="004742E5" w:rsidRPr="008E33DF">
        <w:rPr>
          <w:rFonts w:cs="Helvetica"/>
          <w:i/>
        </w:rPr>
        <w:t>Deze afdeling is niet van toepassing op huur welke een gebruik van woonruimte betreft dat naar zijn aard slechts van korte duur is.</w:t>
      </w:r>
      <w:r w:rsidRPr="008E33DF">
        <w:rPr>
          <w:rFonts w:cs="Helvetica"/>
          <w:i/>
        </w:rPr>
        <w:t>"</w:t>
      </w:r>
      <w:r w:rsidR="006E08EA" w:rsidRPr="008E33DF">
        <w:rPr>
          <w:rFonts w:cs="Helvetica"/>
          <w:i/>
        </w:rPr>
        <w:t>, z</w:t>
      </w:r>
      <w:r w:rsidR="004742E5" w:rsidRPr="008E33DF">
        <w:rPr>
          <w:rFonts w:cs="Helvetica"/>
        </w:rPr>
        <w:t xml:space="preserve">o luidt art. 7:232 lid 2 BW. </w:t>
      </w:r>
    </w:p>
    <w:p w:rsidR="004742E5" w:rsidRPr="008E33DF" w:rsidRDefault="004742E5" w:rsidP="004742E5">
      <w:pPr>
        <w:rPr>
          <w:rFonts w:cs="Helvetica"/>
        </w:rPr>
      </w:pPr>
      <w:r w:rsidRPr="008E33DF">
        <w:rPr>
          <w:rFonts w:cs="Helvetica"/>
        </w:rPr>
        <w:t xml:space="preserve">Dit artikel sluit </w:t>
      </w:r>
      <w:r w:rsidR="00B002FE" w:rsidRPr="008E33DF">
        <w:rPr>
          <w:rFonts w:cs="Helvetica"/>
        </w:rPr>
        <w:t>afdeling 5, en hiermee de huur</w:t>
      </w:r>
      <w:r w:rsidRPr="008E33DF">
        <w:rPr>
          <w:rFonts w:cs="Helvetica"/>
        </w:rPr>
        <w:t xml:space="preserve">bescherming, uit voor huur </w:t>
      </w:r>
      <w:r w:rsidR="006E08EA" w:rsidRPr="008E33DF">
        <w:rPr>
          <w:rFonts w:cs="Helvetica"/>
        </w:rPr>
        <w:t>die</w:t>
      </w:r>
      <w:r w:rsidRPr="008E33DF">
        <w:rPr>
          <w:rFonts w:cs="Helvetica"/>
        </w:rPr>
        <w:t xml:space="preserve"> een gebruik van woonruimte betreft dat naar zijn aard van korte duur is. Het is goed om te weten welke bepalingen in afdeling 5 zijn opgenomen, welke de huurder op grond van art. 7:232 lid 2 BW niet zal genieten bij een dergelijke huurovereenkomst. </w:t>
      </w:r>
      <w:r w:rsidR="006E08EA" w:rsidRPr="008E33DF">
        <w:rPr>
          <w:rFonts w:cs="Helvetica"/>
        </w:rPr>
        <w:t>Hieronder worden</w:t>
      </w:r>
      <w:r w:rsidRPr="008E33DF">
        <w:rPr>
          <w:rFonts w:cs="Helvetica"/>
        </w:rPr>
        <w:t xml:space="preserve"> enkele belangrijke bepalingen behandelen</w:t>
      </w:r>
      <w:r w:rsidR="006E08EA" w:rsidRPr="008E33DF">
        <w:rPr>
          <w:rFonts w:cs="Helvetica"/>
        </w:rPr>
        <w:t xml:space="preserve"> behandeld</w:t>
      </w:r>
    </w:p>
    <w:p w:rsidR="004742E5" w:rsidRPr="008E33DF" w:rsidRDefault="004742E5" w:rsidP="004742E5">
      <w:pPr>
        <w:pStyle w:val="Lijstalinea"/>
        <w:numPr>
          <w:ilvl w:val="0"/>
          <w:numId w:val="1"/>
        </w:numPr>
        <w:rPr>
          <w:rFonts w:cs="Helvetica"/>
        </w:rPr>
      </w:pPr>
      <w:r w:rsidRPr="008E33DF">
        <w:rPr>
          <w:rFonts w:cs="Helvetica"/>
        </w:rPr>
        <w:t>Uitspraak huurcommissie over redelijkheid van</w:t>
      </w:r>
      <w:r w:rsidR="00135F24" w:rsidRPr="008E33DF">
        <w:rPr>
          <w:rFonts w:cs="Helvetica"/>
        </w:rPr>
        <w:t xml:space="preserve"> de</w:t>
      </w:r>
      <w:r w:rsidRPr="008E33DF">
        <w:rPr>
          <w:rFonts w:cs="Helvetica"/>
        </w:rPr>
        <w:t xml:space="preserve"> overeengekomen huurprijs</w:t>
      </w:r>
      <w:r w:rsidR="006E08EA" w:rsidRPr="008E33DF">
        <w:rPr>
          <w:rFonts w:cs="Helvetica"/>
        </w:rPr>
        <w:t>.</w:t>
      </w:r>
    </w:p>
    <w:p w:rsidR="004742E5" w:rsidRPr="008E33DF" w:rsidRDefault="004742E5" w:rsidP="004742E5">
      <w:pPr>
        <w:pStyle w:val="Lijstalinea"/>
        <w:rPr>
          <w:rFonts w:cs="Helvetica"/>
        </w:rPr>
      </w:pPr>
      <w:r w:rsidRPr="008E33DF">
        <w:rPr>
          <w:rFonts w:cs="Helvetica"/>
        </w:rPr>
        <w:lastRenderedPageBreak/>
        <w:t xml:space="preserve">Een huurder kan de huurcommissie verzoeken om een uitspraak te doen over de redelijkheid van de hoogte van de huurprijs die partijen zijn overeengekomen. De huurder moet dit wel </w:t>
      </w:r>
      <w:r w:rsidR="00B002FE" w:rsidRPr="008E33DF">
        <w:rPr>
          <w:rFonts w:cs="Helvetica"/>
        </w:rPr>
        <w:t>binnen de gestelde termijn van zes</w:t>
      </w:r>
      <w:r w:rsidRPr="008E33DF">
        <w:rPr>
          <w:rFonts w:cs="Helvetica"/>
        </w:rPr>
        <w:t xml:space="preserve"> maanden doen, </w:t>
      </w:r>
      <w:r w:rsidR="00B002FE" w:rsidRPr="008E33DF">
        <w:rPr>
          <w:rFonts w:cs="Helvetica"/>
        </w:rPr>
        <w:t>ingaand op het</w:t>
      </w:r>
      <w:r w:rsidR="006E08EA" w:rsidRPr="008E33DF">
        <w:rPr>
          <w:rFonts w:cs="Helvetica"/>
        </w:rPr>
        <w:t xml:space="preserve"> tijdstip waarop</w:t>
      </w:r>
      <w:r w:rsidRPr="008E33DF">
        <w:rPr>
          <w:rFonts w:cs="Helvetica"/>
        </w:rPr>
        <w:t xml:space="preserve"> de huurovereenkomst is ingegaan</w:t>
      </w:r>
      <w:r w:rsidR="00FB009D" w:rsidRPr="008E33DF">
        <w:rPr>
          <w:rFonts w:cs="Helvetica"/>
        </w:rPr>
        <w:t xml:space="preserve"> (art. 7:249 BW)</w:t>
      </w:r>
      <w:r w:rsidR="006E08EA" w:rsidRPr="008E33DF">
        <w:rPr>
          <w:rFonts w:cs="Helvetica"/>
        </w:rPr>
        <w:t>.</w:t>
      </w:r>
    </w:p>
    <w:p w:rsidR="004742E5" w:rsidRPr="008E33DF" w:rsidRDefault="004742E5" w:rsidP="004742E5">
      <w:pPr>
        <w:pStyle w:val="Lijstalinea"/>
        <w:numPr>
          <w:ilvl w:val="0"/>
          <w:numId w:val="1"/>
        </w:numPr>
        <w:rPr>
          <w:rFonts w:cs="Helvetica"/>
        </w:rPr>
      </w:pPr>
      <w:r w:rsidRPr="008E33DF">
        <w:rPr>
          <w:rFonts w:cs="Helvetica"/>
        </w:rPr>
        <w:t>Vermindering van huurprijs op grond van gebreken</w:t>
      </w:r>
      <w:r w:rsidR="006E08EA" w:rsidRPr="008E33DF">
        <w:rPr>
          <w:rFonts w:cs="Helvetica"/>
        </w:rPr>
        <w:t>.</w:t>
      </w:r>
    </w:p>
    <w:p w:rsidR="004742E5" w:rsidRPr="008E33DF" w:rsidRDefault="006E08EA" w:rsidP="004742E5">
      <w:pPr>
        <w:pStyle w:val="Lijstalinea"/>
        <w:rPr>
          <w:rFonts w:cs="Helvetica"/>
        </w:rPr>
      </w:pPr>
      <w:r w:rsidRPr="008E33DF">
        <w:rPr>
          <w:rFonts w:cs="Helvetica"/>
        </w:rPr>
        <w:t>De h</w:t>
      </w:r>
      <w:r w:rsidR="004742E5" w:rsidRPr="008E33DF">
        <w:rPr>
          <w:rFonts w:cs="Helvetica"/>
        </w:rPr>
        <w:t xml:space="preserve">uurder van een woonruimte kan de huurcommissie verzoeken een uitspraak te doen op de verlaging van de huurprijs op grond van een gebrek, genoemd in art. 7:241 BW jo. </w:t>
      </w:r>
      <w:r w:rsidRPr="008E33DF">
        <w:rPr>
          <w:rFonts w:cs="Helvetica"/>
        </w:rPr>
        <w:t>b</w:t>
      </w:r>
      <w:r w:rsidR="004742E5" w:rsidRPr="008E33DF">
        <w:rPr>
          <w:rFonts w:cs="Helvetica"/>
        </w:rPr>
        <w:t>ijlage II bij het BHW. Het verzoek kan gedaan worden vanaf het mo</w:t>
      </w:r>
      <w:r w:rsidR="00B002FE" w:rsidRPr="008E33DF">
        <w:rPr>
          <w:rFonts w:cs="Helvetica"/>
        </w:rPr>
        <w:t>ment</w:t>
      </w:r>
      <w:r w:rsidRPr="008E33DF">
        <w:rPr>
          <w:rFonts w:cs="Helvetica"/>
        </w:rPr>
        <w:t xml:space="preserve"> dat</w:t>
      </w:r>
      <w:r w:rsidR="00B002FE" w:rsidRPr="008E33DF">
        <w:rPr>
          <w:rFonts w:cs="Helvetica"/>
        </w:rPr>
        <w:t xml:space="preserve"> de verhuurder </w:t>
      </w:r>
      <w:r w:rsidRPr="008E33DF">
        <w:rPr>
          <w:rFonts w:cs="Helvetica"/>
        </w:rPr>
        <w:t xml:space="preserve">het gebrek </w:t>
      </w:r>
      <w:r w:rsidR="00B002FE" w:rsidRPr="008E33DF">
        <w:rPr>
          <w:rFonts w:cs="Helvetica"/>
        </w:rPr>
        <w:t>niet binnen zes</w:t>
      </w:r>
      <w:r w:rsidR="004742E5" w:rsidRPr="008E33DF">
        <w:rPr>
          <w:rFonts w:cs="Helvetica"/>
        </w:rPr>
        <w:t xml:space="preserve"> weken, nadat de huurder de verhuurder</w:t>
      </w:r>
      <w:r w:rsidRPr="008E33DF">
        <w:rPr>
          <w:rFonts w:cs="Helvetica"/>
        </w:rPr>
        <w:t xml:space="preserve"> hiervan in kennis heeft gesteld, h</w:t>
      </w:r>
      <w:r w:rsidR="004742E5" w:rsidRPr="008E33DF">
        <w:rPr>
          <w:rFonts w:cs="Helvetica"/>
        </w:rPr>
        <w:t xml:space="preserve">eeft verholpen. De huurder dient </w:t>
      </w:r>
      <w:r w:rsidRPr="008E33DF">
        <w:rPr>
          <w:rFonts w:cs="Helvetica"/>
        </w:rPr>
        <w:t>het verzoek</w:t>
      </w:r>
      <w:r w:rsidR="004742E5" w:rsidRPr="008E33DF">
        <w:rPr>
          <w:rFonts w:cs="Helvetica"/>
        </w:rPr>
        <w:t xml:space="preserve"> te do</w:t>
      </w:r>
      <w:r w:rsidR="00B002FE" w:rsidRPr="008E33DF">
        <w:rPr>
          <w:rFonts w:cs="Helvetica"/>
        </w:rPr>
        <w:t>en binnen zes</w:t>
      </w:r>
      <w:r w:rsidR="004742E5" w:rsidRPr="008E33DF">
        <w:rPr>
          <w:rFonts w:cs="Helvetica"/>
        </w:rPr>
        <w:t xml:space="preserve"> maanden</w:t>
      </w:r>
      <w:r w:rsidRPr="008E33DF">
        <w:rPr>
          <w:rFonts w:cs="Helvetica"/>
        </w:rPr>
        <w:t>,</w:t>
      </w:r>
      <w:r w:rsidR="004742E5" w:rsidRPr="008E33DF">
        <w:rPr>
          <w:rFonts w:cs="Helvetica"/>
        </w:rPr>
        <w:t xml:space="preserve"> nadat</w:t>
      </w:r>
      <w:r w:rsidRPr="008E33DF">
        <w:rPr>
          <w:rFonts w:cs="Helvetica"/>
        </w:rPr>
        <w:t xml:space="preserve"> hij</w:t>
      </w:r>
      <w:r w:rsidR="004742E5" w:rsidRPr="008E33DF">
        <w:rPr>
          <w:rFonts w:cs="Helvetica"/>
        </w:rPr>
        <w:t xml:space="preserve"> de verhuurder</w:t>
      </w:r>
      <w:r w:rsidRPr="008E33DF">
        <w:rPr>
          <w:rFonts w:cs="Helvetica"/>
        </w:rPr>
        <w:t xml:space="preserve"> in kennis heeft gesteld</w:t>
      </w:r>
      <w:r w:rsidR="004742E5" w:rsidRPr="008E33DF">
        <w:rPr>
          <w:rFonts w:cs="Helvetica"/>
        </w:rPr>
        <w:t xml:space="preserve"> van het gebrek</w:t>
      </w:r>
      <w:r w:rsidR="00FB009D" w:rsidRPr="008E33DF">
        <w:rPr>
          <w:rFonts w:cs="Helvetica"/>
        </w:rPr>
        <w:t xml:space="preserve"> (art. 7:257 lid 2 BW)</w:t>
      </w:r>
      <w:r w:rsidRPr="008E33DF">
        <w:rPr>
          <w:rFonts w:cs="Helvetica"/>
        </w:rPr>
        <w:t>.</w:t>
      </w:r>
      <w:r w:rsidR="004742E5" w:rsidRPr="008E33DF">
        <w:rPr>
          <w:rStyle w:val="Voetnootmarkering"/>
          <w:rFonts w:cs="Helvetica"/>
        </w:rPr>
        <w:footnoteReference w:id="24"/>
      </w:r>
    </w:p>
    <w:p w:rsidR="004742E5" w:rsidRPr="008E33DF" w:rsidRDefault="004742E5" w:rsidP="004742E5">
      <w:pPr>
        <w:pStyle w:val="Lijstalinea"/>
        <w:numPr>
          <w:ilvl w:val="0"/>
          <w:numId w:val="1"/>
        </w:numPr>
        <w:rPr>
          <w:rFonts w:cs="Helvetica"/>
        </w:rPr>
      </w:pPr>
      <w:r w:rsidRPr="008E33DF">
        <w:rPr>
          <w:rFonts w:cs="Helvetica"/>
        </w:rPr>
        <w:t>Uitspraak huurcommissie over servicekosten</w:t>
      </w:r>
      <w:r w:rsidR="006E08EA" w:rsidRPr="008E33DF">
        <w:rPr>
          <w:rFonts w:cs="Helvetica"/>
        </w:rPr>
        <w:t>.</w:t>
      </w:r>
    </w:p>
    <w:p w:rsidR="004742E5" w:rsidRPr="008E33DF" w:rsidRDefault="004742E5" w:rsidP="004742E5">
      <w:pPr>
        <w:pStyle w:val="Lijstalinea"/>
        <w:rPr>
          <w:rFonts w:cs="Helvetica"/>
        </w:rPr>
      </w:pPr>
      <w:r w:rsidRPr="008E33DF">
        <w:rPr>
          <w:rFonts w:cs="Helvetica"/>
        </w:rPr>
        <w:t>Huurder en verhuurder kunnen de huurcommissie verzoeken om een uitspraak te doen over de hoogte van de kosten met betrekking tot nutsvoorzieningen met een ind</w:t>
      </w:r>
      <w:r w:rsidR="00784264" w:rsidRPr="008E33DF">
        <w:rPr>
          <w:rFonts w:cs="Helvetica"/>
        </w:rPr>
        <w:t>ividuele meter en servicekosten</w:t>
      </w:r>
      <w:r w:rsidRPr="008E33DF">
        <w:rPr>
          <w:rFonts w:cs="Helvetica"/>
        </w:rPr>
        <w:t xml:space="preserve"> indien de partijen zelf geen overeenstemming hebben kunnen bereiken</w:t>
      </w:r>
      <w:r w:rsidR="002264CB" w:rsidRPr="008E33DF">
        <w:rPr>
          <w:rFonts w:cs="Helvetica"/>
        </w:rPr>
        <w:t xml:space="preserve"> (art. 7:260 BW)</w:t>
      </w:r>
      <w:r w:rsidR="006E08EA" w:rsidRPr="008E33DF">
        <w:rPr>
          <w:rFonts w:cs="Helvetica"/>
        </w:rPr>
        <w:t>.</w:t>
      </w:r>
    </w:p>
    <w:p w:rsidR="004742E5" w:rsidRPr="008E33DF" w:rsidRDefault="004742E5" w:rsidP="004742E5">
      <w:pPr>
        <w:pStyle w:val="Lijstalinea"/>
        <w:numPr>
          <w:ilvl w:val="0"/>
          <w:numId w:val="1"/>
        </w:numPr>
        <w:rPr>
          <w:rFonts w:cs="Helvetica"/>
        </w:rPr>
      </w:pPr>
      <w:r w:rsidRPr="008E33DF">
        <w:rPr>
          <w:rFonts w:cs="Helvetica"/>
        </w:rPr>
        <w:t>Opzegging</w:t>
      </w:r>
      <w:r w:rsidR="006E08EA" w:rsidRPr="008E33DF">
        <w:rPr>
          <w:rFonts w:cs="Helvetica"/>
        </w:rPr>
        <w:t>.</w:t>
      </w:r>
    </w:p>
    <w:p w:rsidR="004742E5" w:rsidRPr="008E33DF" w:rsidRDefault="004742E5" w:rsidP="006E08EA">
      <w:pPr>
        <w:pStyle w:val="Lijstalinea"/>
        <w:rPr>
          <w:rFonts w:cs="Helvetica"/>
        </w:rPr>
      </w:pPr>
      <w:r w:rsidRPr="008E33DF">
        <w:rPr>
          <w:rFonts w:cs="Helvetica"/>
        </w:rPr>
        <w:t xml:space="preserve">In hoofdstuk 2 </w:t>
      </w:r>
      <w:r w:rsidR="006E08EA" w:rsidRPr="008E33DF">
        <w:rPr>
          <w:rFonts w:cs="Helvetica"/>
        </w:rPr>
        <w:t>is</w:t>
      </w:r>
      <w:r w:rsidRPr="008E33DF">
        <w:rPr>
          <w:rFonts w:cs="Helvetica"/>
        </w:rPr>
        <w:t xml:space="preserve"> de opzeggi</w:t>
      </w:r>
      <w:r w:rsidR="00784264" w:rsidRPr="008E33DF">
        <w:rPr>
          <w:rFonts w:cs="Helvetica"/>
        </w:rPr>
        <w:t>ng uitgebreid behandeld.</w:t>
      </w:r>
    </w:p>
    <w:p w:rsidR="00EE4332" w:rsidRPr="008E33DF" w:rsidRDefault="00EE4332" w:rsidP="004742E5">
      <w:pPr>
        <w:pStyle w:val="Lijstalinea"/>
        <w:rPr>
          <w:rFonts w:cs="Helvetica"/>
        </w:rPr>
      </w:pPr>
    </w:p>
    <w:p w:rsidR="00EE4332" w:rsidRPr="008E33DF" w:rsidRDefault="00EE4332" w:rsidP="00EE4332">
      <w:pPr>
        <w:pStyle w:val="Kop3"/>
        <w:rPr>
          <w:rFonts w:eastAsiaTheme="minorHAnsi" w:cs="Helvetica"/>
          <w:b w:val="0"/>
          <w:bCs w:val="0"/>
          <w:color w:val="auto"/>
        </w:rPr>
      </w:pPr>
    </w:p>
    <w:p w:rsidR="004742E5" w:rsidRPr="008E33DF" w:rsidRDefault="00B747AB" w:rsidP="00EE4332">
      <w:pPr>
        <w:pStyle w:val="Kop3"/>
      </w:pPr>
      <w:bookmarkStart w:id="31" w:name="_Toc454253660"/>
      <w:r w:rsidRPr="008E33DF">
        <w:t>3.</w:t>
      </w:r>
      <w:r w:rsidR="00BE1883" w:rsidRPr="008E33DF">
        <w:t>3</w:t>
      </w:r>
      <w:r w:rsidRPr="008E33DF">
        <w:t xml:space="preserve">.2 </w:t>
      </w:r>
      <w:r w:rsidR="00C66D81" w:rsidRPr="008E33DF">
        <w:t>Slotsom</w:t>
      </w:r>
      <w:bookmarkEnd w:id="31"/>
    </w:p>
    <w:p w:rsidR="00DB33CF" w:rsidRPr="008E33DF" w:rsidRDefault="00135F24">
      <w:pPr>
        <w:rPr>
          <w:rFonts w:cs="Helvetica"/>
        </w:rPr>
      </w:pPr>
      <w:r w:rsidRPr="008E33DF">
        <w:rPr>
          <w:rFonts w:cs="Helvetica"/>
        </w:rPr>
        <w:t>Uit</w:t>
      </w:r>
      <w:r w:rsidR="00DB33CF" w:rsidRPr="008E33DF">
        <w:rPr>
          <w:rFonts w:cs="Helvetica"/>
        </w:rPr>
        <w:t xml:space="preserve"> de vorige </w:t>
      </w:r>
      <w:r w:rsidR="00B2058E" w:rsidRPr="008E33DF">
        <w:rPr>
          <w:rFonts w:cs="Helvetica"/>
        </w:rPr>
        <w:t>sub</w:t>
      </w:r>
      <w:r w:rsidR="00DB33CF" w:rsidRPr="008E33DF">
        <w:rPr>
          <w:rFonts w:cs="Helvetica"/>
        </w:rPr>
        <w:t xml:space="preserve">paragraaf </w:t>
      </w:r>
      <w:r w:rsidRPr="008E33DF">
        <w:rPr>
          <w:rFonts w:cs="Helvetica"/>
        </w:rPr>
        <w:t>blijkt</w:t>
      </w:r>
      <w:r w:rsidR="00DB33CF" w:rsidRPr="008E33DF">
        <w:rPr>
          <w:rFonts w:cs="Helvetica"/>
        </w:rPr>
        <w:t xml:space="preserve"> dat de uitzonderingsbepaling uit art. 7:232 lid 2</w:t>
      </w:r>
      <w:r w:rsidRPr="008E33DF">
        <w:rPr>
          <w:rFonts w:cs="Helvetica"/>
        </w:rPr>
        <w:t xml:space="preserve"> BW</w:t>
      </w:r>
      <w:r w:rsidR="00DB33CF" w:rsidRPr="008E33DF">
        <w:rPr>
          <w:rFonts w:cs="Helvetica"/>
        </w:rPr>
        <w:t xml:space="preserve"> zeer nadelige gevolgen heeft voor de</w:t>
      </w:r>
      <w:r w:rsidR="00784264" w:rsidRPr="008E33DF">
        <w:rPr>
          <w:rFonts w:cs="Helvetica"/>
        </w:rPr>
        <w:t xml:space="preserve"> huurder, daar hij geen huur</w:t>
      </w:r>
      <w:r w:rsidR="00DB33CF" w:rsidRPr="008E33DF">
        <w:rPr>
          <w:rFonts w:cs="Helvetica"/>
        </w:rPr>
        <w:t xml:space="preserve">bescherming geniet. </w:t>
      </w:r>
      <w:r w:rsidRPr="008E33DF">
        <w:rPr>
          <w:rFonts w:cs="Helvetica"/>
        </w:rPr>
        <w:t>Voor de verhuurder daarentegen, is dit een voordeel. Hij</w:t>
      </w:r>
      <w:r w:rsidR="00B2058E" w:rsidRPr="008E33DF">
        <w:rPr>
          <w:rFonts w:cs="Helvetica"/>
        </w:rPr>
        <w:t xml:space="preserve"> hoeft </w:t>
      </w:r>
      <w:r w:rsidR="00784264" w:rsidRPr="008E33DF">
        <w:rPr>
          <w:rFonts w:cs="Helvetica"/>
        </w:rPr>
        <w:t xml:space="preserve">zich </w:t>
      </w:r>
      <w:r w:rsidR="00B2058E" w:rsidRPr="008E33DF">
        <w:rPr>
          <w:rFonts w:cs="Helvetica"/>
        </w:rPr>
        <w:t xml:space="preserve">geen zorgen te maken </w:t>
      </w:r>
      <w:r w:rsidRPr="008E33DF">
        <w:rPr>
          <w:rFonts w:cs="Helvetica"/>
        </w:rPr>
        <w:t>over de strenge regels van de</w:t>
      </w:r>
      <w:r w:rsidR="009D5400" w:rsidRPr="008E33DF">
        <w:rPr>
          <w:rFonts w:cs="Helvetica"/>
        </w:rPr>
        <w:t xml:space="preserve"> </w:t>
      </w:r>
      <w:r w:rsidRPr="008E33DF">
        <w:rPr>
          <w:rFonts w:cs="Helvetica"/>
        </w:rPr>
        <w:t>huurbescherming</w:t>
      </w:r>
      <w:r w:rsidR="00B2058E" w:rsidRPr="008E33DF">
        <w:rPr>
          <w:rFonts w:cs="Helvetica"/>
        </w:rPr>
        <w:t>, mits zijn beroep op de uit</w:t>
      </w:r>
      <w:r w:rsidR="00C66D81" w:rsidRPr="008E33DF">
        <w:rPr>
          <w:rFonts w:cs="Helvetica"/>
        </w:rPr>
        <w:t xml:space="preserve">zonderingsgrond slaagt. </w:t>
      </w:r>
      <w:r w:rsidRPr="008E33DF">
        <w:rPr>
          <w:rFonts w:cs="Helvetica"/>
        </w:rPr>
        <w:t>Uit</w:t>
      </w:r>
      <w:r w:rsidR="00B2058E" w:rsidRPr="008E33DF">
        <w:rPr>
          <w:rFonts w:cs="Helvetica"/>
        </w:rPr>
        <w:t xml:space="preserve"> paragraaf 3.1 </w:t>
      </w:r>
      <w:r w:rsidRPr="008E33DF">
        <w:rPr>
          <w:rFonts w:cs="Helvetica"/>
        </w:rPr>
        <w:t>blijkt</w:t>
      </w:r>
      <w:r w:rsidR="00B2058E" w:rsidRPr="008E33DF">
        <w:rPr>
          <w:rFonts w:cs="Helvetica"/>
        </w:rPr>
        <w:t xml:space="preserve"> dat de recht</w:t>
      </w:r>
      <w:r w:rsidRPr="008E33DF">
        <w:rPr>
          <w:rFonts w:cs="Helvetica"/>
        </w:rPr>
        <w:t>er</w:t>
      </w:r>
      <w:r w:rsidR="00B2058E" w:rsidRPr="008E33DF">
        <w:rPr>
          <w:rFonts w:cs="Helvetica"/>
        </w:rPr>
        <w:t xml:space="preserve"> terughouden</w:t>
      </w:r>
      <w:r w:rsidR="00784264" w:rsidRPr="008E33DF">
        <w:rPr>
          <w:rFonts w:cs="Helvetica"/>
        </w:rPr>
        <w:t xml:space="preserve">d </w:t>
      </w:r>
      <w:r w:rsidR="00B2058E" w:rsidRPr="008E33DF">
        <w:rPr>
          <w:rFonts w:cs="Helvetica"/>
        </w:rPr>
        <w:t xml:space="preserve">dient te zijn bij de toepassing van deze uitzonderingsgrond. </w:t>
      </w:r>
      <w:r w:rsidR="00C66D81" w:rsidRPr="008E33DF">
        <w:rPr>
          <w:rFonts w:cs="Helvetica"/>
        </w:rPr>
        <w:t xml:space="preserve">Deze beoogde terughoudendheid is nu beter te begrijpen, nu </w:t>
      </w:r>
      <w:r w:rsidRPr="008E33DF">
        <w:rPr>
          <w:rFonts w:cs="Helvetica"/>
        </w:rPr>
        <w:t>duidelijk is</w:t>
      </w:r>
      <w:r w:rsidR="00C66D81" w:rsidRPr="008E33DF">
        <w:rPr>
          <w:rFonts w:cs="Helvetica"/>
        </w:rPr>
        <w:t xml:space="preserve"> welke rechtsgevolgen aan de uitzondering verbonden zijn.</w:t>
      </w:r>
    </w:p>
    <w:p w:rsidR="00587FC2" w:rsidRPr="008E33DF" w:rsidRDefault="00587FC2">
      <w:pPr>
        <w:rPr>
          <w:rFonts w:cs="Helvetica"/>
          <w:b/>
          <w:color w:val="548DD4" w:themeColor="text2" w:themeTint="99"/>
        </w:rPr>
      </w:pPr>
    </w:p>
    <w:p w:rsidR="00AE5E99" w:rsidRPr="008E33DF" w:rsidRDefault="00AE5E99" w:rsidP="00306DD0">
      <w:pPr>
        <w:rPr>
          <w:rFonts w:cs="Helvetica"/>
          <w:b/>
          <w:sz w:val="28"/>
          <w:szCs w:val="28"/>
        </w:rPr>
      </w:pPr>
    </w:p>
    <w:p w:rsidR="00AE5E99" w:rsidRPr="008E33DF" w:rsidRDefault="00AE5E99" w:rsidP="00306DD0">
      <w:pPr>
        <w:rPr>
          <w:rFonts w:cs="Helvetica"/>
          <w:b/>
          <w:sz w:val="28"/>
          <w:szCs w:val="28"/>
        </w:rPr>
      </w:pPr>
    </w:p>
    <w:p w:rsidR="00135F24" w:rsidRPr="008E33DF" w:rsidRDefault="00135F24" w:rsidP="009D5400"/>
    <w:p w:rsidR="00135F24" w:rsidRPr="008E33DF" w:rsidRDefault="00135F24" w:rsidP="009D5400"/>
    <w:p w:rsidR="00135F24" w:rsidRPr="008E33DF" w:rsidRDefault="00135F24" w:rsidP="009D5400"/>
    <w:p w:rsidR="009D5400" w:rsidRPr="008E33DF" w:rsidRDefault="009D5400" w:rsidP="009D5400"/>
    <w:p w:rsidR="009D5400" w:rsidRPr="008E33DF" w:rsidRDefault="009D5400" w:rsidP="009D5400"/>
    <w:p w:rsidR="00135F24" w:rsidRPr="008E33DF" w:rsidRDefault="00135F24" w:rsidP="009D5400"/>
    <w:p w:rsidR="00306DD0" w:rsidRPr="008E33DF" w:rsidRDefault="00AE5E99" w:rsidP="005E7558">
      <w:pPr>
        <w:pStyle w:val="Kop1"/>
      </w:pPr>
      <w:bookmarkStart w:id="32" w:name="_Toc454253661"/>
      <w:r w:rsidRPr="008E33DF">
        <w:lastRenderedPageBreak/>
        <w:t>4. Resultaten: b</w:t>
      </w:r>
      <w:r w:rsidR="00306DD0" w:rsidRPr="008E33DF">
        <w:t>eoordelingsfactoren</w:t>
      </w:r>
      <w:bookmarkEnd w:id="32"/>
    </w:p>
    <w:p w:rsidR="00EE4332" w:rsidRPr="008E33DF" w:rsidRDefault="00EE4332" w:rsidP="00306DD0">
      <w:pPr>
        <w:rPr>
          <w:rFonts w:cs="Helvetica"/>
          <w:b/>
          <w:color w:val="17365D" w:themeColor="text2" w:themeShade="BF"/>
          <w:sz w:val="28"/>
          <w:szCs w:val="28"/>
        </w:rPr>
      </w:pPr>
    </w:p>
    <w:p w:rsidR="00306DD0" w:rsidRPr="008E33DF" w:rsidRDefault="00AE5E99">
      <w:pPr>
        <w:rPr>
          <w:rFonts w:cs="Helvetica"/>
        </w:rPr>
      </w:pPr>
      <w:r w:rsidRPr="008E33DF">
        <w:rPr>
          <w:rFonts w:cs="Helvetica"/>
        </w:rPr>
        <w:t xml:space="preserve">In dit hoofdstuk </w:t>
      </w:r>
      <w:r w:rsidR="00135F24" w:rsidRPr="008E33DF">
        <w:rPr>
          <w:rFonts w:cs="Helvetica"/>
        </w:rPr>
        <w:t>wordt</w:t>
      </w:r>
      <w:r w:rsidRPr="008E33DF">
        <w:rPr>
          <w:rFonts w:cs="Helvetica"/>
        </w:rPr>
        <w:t xml:space="preserve"> een antwoord </w:t>
      </w:r>
      <w:r w:rsidR="00135F24" w:rsidRPr="008E33DF">
        <w:rPr>
          <w:rFonts w:cs="Helvetica"/>
        </w:rPr>
        <w:t>ge</w:t>
      </w:r>
      <w:r w:rsidRPr="008E33DF">
        <w:rPr>
          <w:rFonts w:cs="Helvetica"/>
        </w:rPr>
        <w:t xml:space="preserve">geven op de </w:t>
      </w:r>
      <w:r w:rsidR="00135F24" w:rsidRPr="008E33DF">
        <w:rPr>
          <w:rFonts w:cs="Helvetica"/>
        </w:rPr>
        <w:t>derde</w:t>
      </w:r>
      <w:r w:rsidRPr="008E33DF">
        <w:rPr>
          <w:rFonts w:cs="Helvetica"/>
        </w:rPr>
        <w:t xml:space="preserve"> deelvraag:</w:t>
      </w:r>
    </w:p>
    <w:p w:rsidR="007108EC" w:rsidRPr="008E33DF" w:rsidRDefault="007108EC" w:rsidP="007108EC">
      <w:pPr>
        <w:rPr>
          <w:rFonts w:cs="Helvetica"/>
          <w:i/>
        </w:rPr>
      </w:pPr>
      <w:r w:rsidRPr="008E33DF">
        <w:rPr>
          <w:rFonts w:cs="Helvetica"/>
          <w:i/>
        </w:rPr>
        <w:t>Welke factoren worden getoetst door de rechter bij het toe- of afwijzen van een beroep op art. 7:232 lid 2 BW?</w:t>
      </w:r>
    </w:p>
    <w:p w:rsidR="00EE4332" w:rsidRPr="008E33DF" w:rsidRDefault="00EE4332" w:rsidP="00AE5E99">
      <w:pPr>
        <w:rPr>
          <w:rFonts w:cs="Helvetica"/>
          <w:i/>
        </w:rPr>
      </w:pPr>
    </w:p>
    <w:p w:rsidR="00C71DF6" w:rsidRPr="008E33DF" w:rsidRDefault="00135F24">
      <w:pPr>
        <w:rPr>
          <w:rFonts w:cs="Helvetica"/>
        </w:rPr>
      </w:pPr>
      <w:r w:rsidRPr="008E33DF">
        <w:rPr>
          <w:rFonts w:cs="Helvetica"/>
        </w:rPr>
        <w:t>Uit</w:t>
      </w:r>
      <w:r w:rsidR="00D4235D" w:rsidRPr="008E33DF">
        <w:rPr>
          <w:rFonts w:cs="Helvetica"/>
        </w:rPr>
        <w:t xml:space="preserve"> paragr</w:t>
      </w:r>
      <w:r w:rsidR="00F770FF" w:rsidRPr="008E33DF">
        <w:rPr>
          <w:rFonts w:cs="Helvetica"/>
        </w:rPr>
        <w:t>aaf 3.2</w:t>
      </w:r>
      <w:r w:rsidR="00614DA9">
        <w:rPr>
          <w:rFonts w:cs="Helvetica"/>
        </w:rPr>
        <w:t xml:space="preserve"> </w:t>
      </w:r>
      <w:r w:rsidRPr="008E33DF">
        <w:rPr>
          <w:rFonts w:cs="Helvetica"/>
        </w:rPr>
        <w:t>is gebleken,</w:t>
      </w:r>
      <w:r w:rsidR="00D4235D" w:rsidRPr="008E33DF">
        <w:rPr>
          <w:rFonts w:cs="Helvetica"/>
        </w:rPr>
        <w:t xml:space="preserve"> dat</w:t>
      </w:r>
      <w:r w:rsidRPr="008E33DF">
        <w:rPr>
          <w:rFonts w:cs="Helvetica"/>
        </w:rPr>
        <w:t xml:space="preserve"> de rechter</w:t>
      </w:r>
      <w:r w:rsidR="009D5400" w:rsidRPr="008E33DF">
        <w:rPr>
          <w:rFonts w:cs="Helvetica"/>
        </w:rPr>
        <w:t xml:space="preserve"> </w:t>
      </w:r>
      <w:r w:rsidR="0006613D" w:rsidRPr="008E33DF">
        <w:rPr>
          <w:rFonts w:cs="Helvetica"/>
        </w:rPr>
        <w:t xml:space="preserve">volgens </w:t>
      </w:r>
      <w:r w:rsidR="0016320F" w:rsidRPr="008E33DF">
        <w:rPr>
          <w:rFonts w:cs="Helvetica"/>
        </w:rPr>
        <w:t xml:space="preserve">vaste </w:t>
      </w:r>
      <w:r w:rsidR="00EE4332" w:rsidRPr="008E33DF">
        <w:rPr>
          <w:rFonts w:cs="Helvetica"/>
        </w:rPr>
        <w:t>rechtspraak</w:t>
      </w:r>
      <w:r w:rsidR="00D4235D" w:rsidRPr="008E33DF">
        <w:rPr>
          <w:rFonts w:cs="Helvetica"/>
        </w:rPr>
        <w:t xml:space="preserve"> bij een beroep</w:t>
      </w:r>
      <w:r w:rsidR="00EE4332" w:rsidRPr="008E33DF">
        <w:rPr>
          <w:rFonts w:cs="Helvetica"/>
        </w:rPr>
        <w:t xml:space="preserve"> op art. 7:232 lid 2 BW</w:t>
      </w:r>
      <w:r w:rsidR="00D4235D" w:rsidRPr="008E33DF">
        <w:rPr>
          <w:rFonts w:cs="Helvetica"/>
        </w:rPr>
        <w:t xml:space="preserve"> moet toetsen op een viertal beoordelingsfacto</w:t>
      </w:r>
      <w:r w:rsidR="008D7AA7" w:rsidRPr="008E33DF">
        <w:rPr>
          <w:rFonts w:cs="Helvetica"/>
        </w:rPr>
        <w:t>ren. In dit hoofdstuk zal</w:t>
      </w:r>
      <w:r w:rsidR="00D4235D" w:rsidRPr="008E33DF">
        <w:rPr>
          <w:rFonts w:cs="Helvetica"/>
        </w:rPr>
        <w:t xml:space="preserve"> middels jurisprudentieonderzoek </w:t>
      </w:r>
      <w:r w:rsidR="00EE4332" w:rsidRPr="008E33DF">
        <w:rPr>
          <w:rFonts w:cs="Helvetica"/>
        </w:rPr>
        <w:t>geanalyseerd worden</w:t>
      </w:r>
      <w:r w:rsidR="00D4235D" w:rsidRPr="008E33DF">
        <w:rPr>
          <w:rFonts w:cs="Helvetica"/>
        </w:rPr>
        <w:t xml:space="preserve"> hoe de rechtspraak in </w:t>
      </w:r>
      <w:r w:rsidR="0016320F" w:rsidRPr="008E33DF">
        <w:rPr>
          <w:rFonts w:cs="Helvetica"/>
        </w:rPr>
        <w:t>de praktijk omgaat met dit</w:t>
      </w:r>
      <w:r w:rsidR="00D4235D" w:rsidRPr="008E33DF">
        <w:rPr>
          <w:rFonts w:cs="Helvetica"/>
        </w:rPr>
        <w:t xml:space="preserve"> viertal </w:t>
      </w:r>
      <w:r w:rsidR="00EE4332" w:rsidRPr="008E33DF">
        <w:rPr>
          <w:rFonts w:cs="Helvetica"/>
        </w:rPr>
        <w:t>beoordelings</w:t>
      </w:r>
      <w:r w:rsidR="00BD1DA3" w:rsidRPr="008E33DF">
        <w:rPr>
          <w:rFonts w:cs="Helvetica"/>
        </w:rPr>
        <w:t>factoren</w:t>
      </w:r>
      <w:r w:rsidR="00D4235D" w:rsidRPr="008E33DF">
        <w:rPr>
          <w:rFonts w:cs="Helvetica"/>
        </w:rPr>
        <w:t>.</w:t>
      </w:r>
      <w:r w:rsidR="00C71DF6" w:rsidRPr="008E33DF">
        <w:rPr>
          <w:rFonts w:cs="Helvetica"/>
        </w:rPr>
        <w:t xml:space="preserve"> In paragraaf 4.1 wordt aandacht best</w:t>
      </w:r>
      <w:r w:rsidR="008D7AA7" w:rsidRPr="008E33DF">
        <w:rPr>
          <w:rFonts w:cs="Helvetica"/>
        </w:rPr>
        <w:t>eed aan de aanpak. Daarna wordt</w:t>
      </w:r>
      <w:r w:rsidR="00C71DF6" w:rsidRPr="008E33DF">
        <w:rPr>
          <w:rFonts w:cs="Helvetica"/>
        </w:rPr>
        <w:t xml:space="preserve"> in paragraaf 4.2 </w:t>
      </w:r>
      <w:r w:rsidR="0016320F" w:rsidRPr="008E33DF">
        <w:rPr>
          <w:rFonts w:cs="Helvetica"/>
        </w:rPr>
        <w:t>ingegaan op de uitspraken</w:t>
      </w:r>
      <w:r w:rsidR="00EE4332" w:rsidRPr="008E33DF">
        <w:rPr>
          <w:rFonts w:cs="Helvetica"/>
        </w:rPr>
        <w:t xml:space="preserve"> waarbij het</w:t>
      </w:r>
      <w:r w:rsidR="00C71DF6" w:rsidRPr="008E33DF">
        <w:rPr>
          <w:rFonts w:cs="Helvetica"/>
        </w:rPr>
        <w:t xml:space="preserve"> beroep op art. 7:232 lid 2 </w:t>
      </w:r>
      <w:r w:rsidR="00EE4332" w:rsidRPr="008E33DF">
        <w:rPr>
          <w:rFonts w:cs="Helvetica"/>
        </w:rPr>
        <w:t>wordt afgewezen</w:t>
      </w:r>
      <w:r w:rsidR="00F770FF" w:rsidRPr="008E33DF">
        <w:rPr>
          <w:rFonts w:cs="Helvetica"/>
        </w:rPr>
        <w:t>. Vervolgens word</w:t>
      </w:r>
      <w:r w:rsidRPr="008E33DF">
        <w:rPr>
          <w:rFonts w:cs="Helvetica"/>
        </w:rPr>
        <w:t>en</w:t>
      </w:r>
      <w:r w:rsidR="00C71DF6" w:rsidRPr="008E33DF">
        <w:rPr>
          <w:rFonts w:cs="Helvetica"/>
        </w:rPr>
        <w:t xml:space="preserve"> in parag</w:t>
      </w:r>
      <w:r w:rsidR="0016320F" w:rsidRPr="008E33DF">
        <w:rPr>
          <w:rFonts w:cs="Helvetica"/>
        </w:rPr>
        <w:t>raaf 4.3 de uitspraken behandeld</w:t>
      </w:r>
      <w:r w:rsidR="00C71DF6" w:rsidRPr="008E33DF">
        <w:rPr>
          <w:rFonts w:cs="Helvetica"/>
        </w:rPr>
        <w:t xml:space="preserve"> waarbij het beroep wordt </w:t>
      </w:r>
      <w:r w:rsidR="00EE4332" w:rsidRPr="008E33DF">
        <w:rPr>
          <w:rFonts w:cs="Helvetica"/>
        </w:rPr>
        <w:t>toegewezen</w:t>
      </w:r>
      <w:r w:rsidR="00C71DF6" w:rsidRPr="008E33DF">
        <w:rPr>
          <w:rFonts w:cs="Helvetica"/>
        </w:rPr>
        <w:t>. Ten slotte wordt in paragraaf 4.4 een conclusie ge</w:t>
      </w:r>
      <w:r w:rsidRPr="008E33DF">
        <w:rPr>
          <w:rFonts w:cs="Helvetica"/>
        </w:rPr>
        <w:t>t</w:t>
      </w:r>
      <w:r w:rsidR="00AA670A" w:rsidRPr="008E33DF">
        <w:rPr>
          <w:rFonts w:cs="Helvetica"/>
        </w:rPr>
        <w:t>r</w:t>
      </w:r>
      <w:r w:rsidRPr="008E33DF">
        <w:rPr>
          <w:rFonts w:cs="Helvetica"/>
        </w:rPr>
        <w:t>okken</w:t>
      </w:r>
      <w:r w:rsidR="00C71DF6" w:rsidRPr="008E33DF">
        <w:rPr>
          <w:rFonts w:cs="Helvetica"/>
        </w:rPr>
        <w:t>.</w:t>
      </w:r>
    </w:p>
    <w:p w:rsidR="00EE4332" w:rsidRPr="008E33DF" w:rsidRDefault="00EE4332">
      <w:pPr>
        <w:rPr>
          <w:rFonts w:cs="Helvetica"/>
        </w:rPr>
      </w:pPr>
    </w:p>
    <w:p w:rsidR="00B364A1" w:rsidRPr="008E33DF" w:rsidRDefault="00D4235D" w:rsidP="005E7558">
      <w:pPr>
        <w:pStyle w:val="Kop2"/>
      </w:pPr>
      <w:bookmarkStart w:id="33" w:name="_Toc454253662"/>
      <w:r w:rsidRPr="008E33DF">
        <w:t xml:space="preserve">4.1 </w:t>
      </w:r>
      <w:r w:rsidR="000A77BD" w:rsidRPr="008E33DF">
        <w:t>Aanpak</w:t>
      </w:r>
      <w:bookmarkEnd w:id="33"/>
    </w:p>
    <w:p w:rsidR="00AE5E99" w:rsidRPr="008E33DF" w:rsidRDefault="00B364A1" w:rsidP="002405B9">
      <w:pPr>
        <w:rPr>
          <w:rFonts w:cs="Helvetica"/>
        </w:rPr>
      </w:pPr>
      <w:r w:rsidRPr="008E33DF">
        <w:rPr>
          <w:rFonts w:cs="Helvetica"/>
        </w:rPr>
        <w:t>Voor de beantwoording van deze dee</w:t>
      </w:r>
      <w:r w:rsidR="00496AC5" w:rsidRPr="008E33DF">
        <w:rPr>
          <w:rFonts w:cs="Helvetica"/>
        </w:rPr>
        <w:t>lvraag zijn 40 uitspraken bestudeerd</w:t>
      </w:r>
      <w:r w:rsidRPr="008E33DF">
        <w:rPr>
          <w:rFonts w:cs="Helvetica"/>
        </w:rPr>
        <w:t xml:space="preserve"> en schematisch geanalyseerd. </w:t>
      </w:r>
      <w:r w:rsidR="00135F24" w:rsidRPr="008E33DF">
        <w:rPr>
          <w:rFonts w:cs="Helvetica"/>
        </w:rPr>
        <w:t xml:space="preserve">In bijlage 1 is een </w:t>
      </w:r>
      <w:r w:rsidR="00EE4332" w:rsidRPr="008E33DF">
        <w:rPr>
          <w:rFonts w:cs="Helvetica"/>
        </w:rPr>
        <w:t>schema</w:t>
      </w:r>
      <w:r w:rsidR="00135F24" w:rsidRPr="008E33DF">
        <w:rPr>
          <w:rFonts w:cs="Helvetica"/>
        </w:rPr>
        <w:t xml:space="preserve"> opgenomen, dat per</w:t>
      </w:r>
      <w:r w:rsidR="00EE4332" w:rsidRPr="008E33DF">
        <w:rPr>
          <w:rFonts w:cs="Helvetica"/>
        </w:rPr>
        <w:t xml:space="preserve"> uitspraak en per beoordelingsfactor de feiten en omstandigheden</w:t>
      </w:r>
      <w:r w:rsidR="00135F24" w:rsidRPr="008E33DF">
        <w:rPr>
          <w:rFonts w:cs="Helvetica"/>
        </w:rPr>
        <w:t xml:space="preserve"> bevat,</w:t>
      </w:r>
      <w:r w:rsidR="00EE4332" w:rsidRPr="008E33DF">
        <w:rPr>
          <w:rFonts w:cs="Helvetica"/>
        </w:rPr>
        <w:t xml:space="preserve"> die bij de beoordeling van de rechter een doorslaggevende rol hebben gehad. </w:t>
      </w:r>
      <w:r w:rsidR="00F770FF" w:rsidRPr="008E33DF">
        <w:rPr>
          <w:rFonts w:cs="Helvetica"/>
        </w:rPr>
        <w:t>I</w:t>
      </w:r>
      <w:r w:rsidR="00135F24" w:rsidRPr="008E33DF">
        <w:rPr>
          <w:rFonts w:cs="Helvetica"/>
        </w:rPr>
        <w:t>n b</w:t>
      </w:r>
      <w:r w:rsidR="004A0522" w:rsidRPr="008E33DF">
        <w:rPr>
          <w:rFonts w:cs="Helvetica"/>
        </w:rPr>
        <w:t>ijlage 2</w:t>
      </w:r>
      <w:r w:rsidR="00F770FF" w:rsidRPr="008E33DF">
        <w:rPr>
          <w:rFonts w:cs="Helvetica"/>
        </w:rPr>
        <w:t xml:space="preserve"> zijn</w:t>
      </w:r>
      <w:r w:rsidR="004A0522" w:rsidRPr="008E33DF">
        <w:rPr>
          <w:rFonts w:cs="Helvetica"/>
        </w:rPr>
        <w:t xml:space="preserve"> de</w:t>
      </w:r>
      <w:r w:rsidR="00F770FF" w:rsidRPr="008E33DF">
        <w:rPr>
          <w:rFonts w:cs="Helvetica"/>
        </w:rPr>
        <w:t xml:space="preserve"> bestudeerde</w:t>
      </w:r>
      <w:r w:rsidR="004A0522" w:rsidRPr="008E33DF">
        <w:rPr>
          <w:rFonts w:cs="Helvetica"/>
        </w:rPr>
        <w:t xml:space="preserve"> uitspraken opgenomen met de bijhorende uitspraaknummers.</w:t>
      </w:r>
      <w:r w:rsidR="00496AC5" w:rsidRPr="008E33DF">
        <w:rPr>
          <w:rFonts w:cs="Helvetica"/>
        </w:rPr>
        <w:t xml:space="preserve"> Het</w:t>
      </w:r>
      <w:r w:rsidRPr="008E33DF">
        <w:rPr>
          <w:rFonts w:cs="Helvetica"/>
        </w:rPr>
        <w:t xml:space="preserve"> schema</w:t>
      </w:r>
      <w:r w:rsidR="00135F24" w:rsidRPr="008E33DF">
        <w:rPr>
          <w:rFonts w:cs="Helvetica"/>
        </w:rPr>
        <w:t xml:space="preserve"> in bijlage 1</w:t>
      </w:r>
      <w:r w:rsidRPr="008E33DF">
        <w:rPr>
          <w:rFonts w:cs="Helvetica"/>
        </w:rPr>
        <w:t xml:space="preserve"> dient niet alleen ter beantwoording v</w:t>
      </w:r>
      <w:r w:rsidR="00135F24" w:rsidRPr="008E33DF">
        <w:rPr>
          <w:rFonts w:cs="Helvetica"/>
        </w:rPr>
        <w:t>an deze deelvraag, maar ook van</w:t>
      </w:r>
      <w:r w:rsidR="00EE4332" w:rsidRPr="008E33DF">
        <w:rPr>
          <w:rFonts w:cs="Helvetica"/>
        </w:rPr>
        <w:t xml:space="preserve"> deelvraag</w:t>
      </w:r>
      <w:r w:rsidRPr="008E33DF">
        <w:rPr>
          <w:rFonts w:cs="Helvetica"/>
        </w:rPr>
        <w:t xml:space="preserve"> 4 . </w:t>
      </w:r>
      <w:r w:rsidR="00EE4332" w:rsidRPr="008E33DF">
        <w:rPr>
          <w:rFonts w:cs="Helvetica"/>
        </w:rPr>
        <w:t>D</w:t>
      </w:r>
      <w:r w:rsidR="006A2F48" w:rsidRPr="008E33DF">
        <w:rPr>
          <w:rFonts w:cs="Helvetica"/>
        </w:rPr>
        <w:t>e</w:t>
      </w:r>
      <w:r w:rsidRPr="008E33DF">
        <w:rPr>
          <w:rFonts w:cs="Helvetica"/>
        </w:rPr>
        <w:t xml:space="preserve"> voor deze deelvraag relevante info</w:t>
      </w:r>
      <w:r w:rsidR="00496AC5" w:rsidRPr="008E33DF">
        <w:rPr>
          <w:rFonts w:cs="Helvetica"/>
        </w:rPr>
        <w:t xml:space="preserve">rmatie, </w:t>
      </w:r>
      <w:r w:rsidR="00EE4332" w:rsidRPr="008E33DF">
        <w:rPr>
          <w:rFonts w:cs="Helvetica"/>
        </w:rPr>
        <w:t xml:space="preserve">is </w:t>
      </w:r>
      <w:r w:rsidR="00496AC5" w:rsidRPr="008E33DF">
        <w:rPr>
          <w:rFonts w:cs="Helvetica"/>
        </w:rPr>
        <w:t>uit het</w:t>
      </w:r>
      <w:r w:rsidRPr="008E33DF">
        <w:rPr>
          <w:rFonts w:cs="Helvetica"/>
        </w:rPr>
        <w:t xml:space="preserve"> schema omgezet </w:t>
      </w:r>
      <w:r w:rsidR="00135F24" w:rsidRPr="008E33DF">
        <w:rPr>
          <w:rFonts w:cs="Helvetica"/>
        </w:rPr>
        <w:t>naar</w:t>
      </w:r>
      <w:r w:rsidRPr="008E33DF">
        <w:rPr>
          <w:rFonts w:cs="Helvetica"/>
        </w:rPr>
        <w:t xml:space="preserve"> tabel</w:t>
      </w:r>
      <w:r w:rsidR="00E92C05" w:rsidRPr="008E33DF">
        <w:rPr>
          <w:rFonts w:cs="Helvetica"/>
        </w:rPr>
        <w:t>len</w:t>
      </w:r>
      <w:r w:rsidRPr="008E33DF">
        <w:rPr>
          <w:rFonts w:cs="Helvetica"/>
        </w:rPr>
        <w:t xml:space="preserve">. </w:t>
      </w:r>
      <w:r w:rsidR="00E92C05" w:rsidRPr="008E33DF">
        <w:rPr>
          <w:rFonts w:cs="Helvetica"/>
        </w:rPr>
        <w:t>De</w:t>
      </w:r>
      <w:r w:rsidR="002405B9" w:rsidRPr="008E33DF">
        <w:rPr>
          <w:rFonts w:cs="Helvetica"/>
        </w:rPr>
        <w:t>ze</w:t>
      </w:r>
      <w:r w:rsidR="00E92C05" w:rsidRPr="008E33DF">
        <w:rPr>
          <w:rFonts w:cs="Helvetica"/>
        </w:rPr>
        <w:t xml:space="preserve"> tabellen</w:t>
      </w:r>
      <w:r w:rsidRPr="008E33DF">
        <w:rPr>
          <w:rFonts w:cs="Helvetica"/>
        </w:rPr>
        <w:t xml:space="preserve"> he</w:t>
      </w:r>
      <w:r w:rsidR="00E92C05" w:rsidRPr="008E33DF">
        <w:rPr>
          <w:rFonts w:cs="Helvetica"/>
        </w:rPr>
        <w:t>bben</w:t>
      </w:r>
      <w:r w:rsidRPr="008E33DF">
        <w:rPr>
          <w:rFonts w:cs="Helvetica"/>
        </w:rPr>
        <w:t xml:space="preserve"> als kopjes de </w:t>
      </w:r>
      <w:r w:rsidR="00BD1DA3" w:rsidRPr="008E33DF">
        <w:rPr>
          <w:rFonts w:cs="Helvetica"/>
        </w:rPr>
        <w:t>factoren</w:t>
      </w:r>
      <w:r w:rsidRPr="008E33DF">
        <w:rPr>
          <w:rFonts w:cs="Helvetica"/>
        </w:rPr>
        <w:t xml:space="preserve"> en daarnaast een kopje overig. </w:t>
      </w:r>
      <w:r w:rsidR="00602F5E" w:rsidRPr="008E33DF">
        <w:rPr>
          <w:rFonts w:cs="Helvetica"/>
        </w:rPr>
        <w:t>Verticaal zijn de nummers van de uitspraken te zien. Per uitspraak is onderzocht op welke beoordelingsfactoren de rechter heeft getoetst. Elke keer als</w:t>
      </w:r>
      <w:r w:rsidR="00135F24" w:rsidRPr="008E33DF">
        <w:rPr>
          <w:rFonts w:cs="Helvetica"/>
        </w:rPr>
        <w:t xml:space="preserve"> de rechter</w:t>
      </w:r>
      <w:r w:rsidR="00602F5E" w:rsidRPr="008E33DF">
        <w:rPr>
          <w:rFonts w:cs="Helvetica"/>
        </w:rPr>
        <w:t xml:space="preserve"> in een uitspraak op een beoordelingsfactor heeft getoetst</w:t>
      </w:r>
      <w:r w:rsidR="00135F24" w:rsidRPr="008E33DF">
        <w:rPr>
          <w:rFonts w:cs="Helvetica"/>
        </w:rPr>
        <w:t>,</w:t>
      </w:r>
      <w:r w:rsidR="00602F5E" w:rsidRPr="008E33DF">
        <w:rPr>
          <w:rFonts w:cs="Helvetica"/>
        </w:rPr>
        <w:t xml:space="preserve"> is een "1" ingevuld onder het desbetreffende kopje.</w:t>
      </w:r>
      <w:r w:rsidR="00496AC5" w:rsidRPr="008E33DF">
        <w:rPr>
          <w:rFonts w:cs="Helvetica"/>
        </w:rPr>
        <w:t xml:space="preserve"> Ook heb</w:t>
      </w:r>
      <w:r w:rsidR="00602F5E" w:rsidRPr="008E33DF">
        <w:rPr>
          <w:rFonts w:cs="Helvetica"/>
        </w:rPr>
        <w:t>ben de hokjes een</w:t>
      </w:r>
      <w:r w:rsidR="00E92C05" w:rsidRPr="008E33DF">
        <w:rPr>
          <w:rFonts w:cs="Helvetica"/>
        </w:rPr>
        <w:t xml:space="preserve"> kleur ge</w:t>
      </w:r>
      <w:r w:rsidR="00602F5E" w:rsidRPr="008E33DF">
        <w:rPr>
          <w:rFonts w:cs="Helvetica"/>
        </w:rPr>
        <w:t>kregen</w:t>
      </w:r>
      <w:r w:rsidR="00E92C05" w:rsidRPr="008E33DF">
        <w:rPr>
          <w:rFonts w:cs="Helvetica"/>
        </w:rPr>
        <w:t>. De kle</w:t>
      </w:r>
      <w:r w:rsidR="00496AC5" w:rsidRPr="008E33DF">
        <w:rPr>
          <w:rFonts w:cs="Helvetica"/>
        </w:rPr>
        <w:t xml:space="preserve">uren geven aan of de toetsing </w:t>
      </w:r>
      <w:r w:rsidR="00602F5E" w:rsidRPr="008E33DF">
        <w:rPr>
          <w:rFonts w:cs="Helvetica"/>
        </w:rPr>
        <w:t>op</w:t>
      </w:r>
      <w:r w:rsidR="009D5400" w:rsidRPr="008E33DF">
        <w:rPr>
          <w:rFonts w:cs="Helvetica"/>
        </w:rPr>
        <w:t xml:space="preserve"> </w:t>
      </w:r>
      <w:r w:rsidR="002405B9" w:rsidRPr="008E33DF">
        <w:rPr>
          <w:rFonts w:cs="Helvetica"/>
        </w:rPr>
        <w:t>de</w:t>
      </w:r>
      <w:r w:rsidR="00E92C05" w:rsidRPr="008E33DF">
        <w:rPr>
          <w:rFonts w:cs="Helvetica"/>
        </w:rPr>
        <w:t xml:space="preserve"> desbetreffende </w:t>
      </w:r>
      <w:r w:rsidR="00BD1DA3" w:rsidRPr="008E33DF">
        <w:rPr>
          <w:rFonts w:cs="Helvetica"/>
        </w:rPr>
        <w:t>factor</w:t>
      </w:r>
      <w:r w:rsidR="002405B9" w:rsidRPr="008E33DF">
        <w:rPr>
          <w:rFonts w:eastAsia="Times New Roman" w:cs="Helvetica"/>
          <w:color w:val="000000"/>
          <w:lang w:eastAsia="nl-NL"/>
        </w:rPr>
        <w:t xml:space="preserve">aanleiding geeft om </w:t>
      </w:r>
      <w:r w:rsidR="00602F5E" w:rsidRPr="008E33DF">
        <w:rPr>
          <w:rFonts w:eastAsia="Times New Roman" w:cs="Helvetica"/>
          <w:color w:val="000000"/>
          <w:lang w:eastAsia="nl-NL"/>
        </w:rPr>
        <w:t xml:space="preserve">de huurovereenkomst te kwalificeren als een huurovereenkomst die naar zijn aard </w:t>
      </w:r>
      <w:r w:rsidR="00602F5E" w:rsidRPr="008E33DF">
        <w:rPr>
          <w:rFonts w:eastAsia="Times New Roman" w:cs="Helvetica"/>
          <w:lang w:eastAsia="nl-NL"/>
        </w:rPr>
        <w:t>van korte duur is.</w:t>
      </w:r>
      <w:r w:rsidR="009D5400" w:rsidRPr="008E33DF">
        <w:rPr>
          <w:rFonts w:eastAsia="Times New Roman" w:cs="Helvetica"/>
          <w:lang w:eastAsia="nl-NL"/>
        </w:rPr>
        <w:t xml:space="preserve"> </w:t>
      </w:r>
      <w:r w:rsidR="00496AC5" w:rsidRPr="008E33DF">
        <w:rPr>
          <w:rFonts w:cs="Helvetica"/>
        </w:rPr>
        <w:t xml:space="preserve">Daarnaast </w:t>
      </w:r>
      <w:r w:rsidR="00602F5E" w:rsidRPr="008E33DF">
        <w:rPr>
          <w:rFonts w:cs="Helvetica"/>
        </w:rPr>
        <w:t xml:space="preserve">zijn er </w:t>
      </w:r>
      <w:r w:rsidR="00E92C05" w:rsidRPr="008E33DF">
        <w:rPr>
          <w:rFonts w:cs="Helvetica"/>
        </w:rPr>
        <w:t>grafieken gem</w:t>
      </w:r>
      <w:r w:rsidR="00496AC5" w:rsidRPr="008E33DF">
        <w:rPr>
          <w:rFonts w:cs="Helvetica"/>
        </w:rPr>
        <w:t>aakt omwille</w:t>
      </w:r>
      <w:r w:rsidR="00F770FF" w:rsidRPr="008E33DF">
        <w:rPr>
          <w:rFonts w:cs="Helvetica"/>
        </w:rPr>
        <w:t xml:space="preserve"> van</w:t>
      </w:r>
      <w:r w:rsidR="00E92C05" w:rsidRPr="008E33DF">
        <w:rPr>
          <w:rFonts w:cs="Helvetica"/>
        </w:rPr>
        <w:t xml:space="preserve"> de overzichtelij</w:t>
      </w:r>
      <w:r w:rsidR="006A2F48" w:rsidRPr="008E33DF">
        <w:rPr>
          <w:rFonts w:cs="Helvetica"/>
        </w:rPr>
        <w:t>kheid.</w:t>
      </w:r>
      <w:r w:rsidR="002405B9" w:rsidRPr="008E33DF">
        <w:rPr>
          <w:rFonts w:cs="Helvetica"/>
        </w:rPr>
        <w:t xml:space="preserve"> Er zijn twee tabellen en twee grafieken gemaakt, namelijk één</w:t>
      </w:r>
      <w:r w:rsidR="009D5400" w:rsidRPr="008E33DF">
        <w:rPr>
          <w:rFonts w:cs="Helvetica"/>
        </w:rPr>
        <w:t xml:space="preserve"> </w:t>
      </w:r>
      <w:r w:rsidR="00135F24" w:rsidRPr="008E33DF">
        <w:rPr>
          <w:rFonts w:cs="Helvetica"/>
        </w:rPr>
        <w:t>paar</w:t>
      </w:r>
      <w:r w:rsidR="002405B9" w:rsidRPr="008E33DF">
        <w:rPr>
          <w:rFonts w:cs="Helvetica"/>
        </w:rPr>
        <w:t xml:space="preserve"> voor de </w:t>
      </w:r>
      <w:r w:rsidR="00120E06" w:rsidRPr="008E33DF">
        <w:rPr>
          <w:rFonts w:cs="Helvetica"/>
        </w:rPr>
        <w:t>uitspraken</w:t>
      </w:r>
      <w:r w:rsidR="00602F5E" w:rsidRPr="008E33DF">
        <w:rPr>
          <w:rFonts w:cs="Helvetica"/>
        </w:rPr>
        <w:t xml:space="preserve"> waarbij een beroep op art. 7:232 lid 2 BW wordt afgewezen en </w:t>
      </w:r>
      <w:r w:rsidR="00135F24" w:rsidRPr="008E33DF">
        <w:rPr>
          <w:rFonts w:cs="Helvetica"/>
        </w:rPr>
        <w:t>één paar</w:t>
      </w:r>
      <w:r w:rsidR="00120E06" w:rsidRPr="008E33DF">
        <w:rPr>
          <w:rFonts w:cs="Helvetica"/>
        </w:rPr>
        <w:t xml:space="preserve"> voor de uitspraken</w:t>
      </w:r>
      <w:r w:rsidR="002405B9" w:rsidRPr="008E33DF">
        <w:rPr>
          <w:rFonts w:cs="Helvetica"/>
        </w:rPr>
        <w:t xml:space="preserve"> waarbij het beroep </w:t>
      </w:r>
      <w:r w:rsidR="00602F5E" w:rsidRPr="008E33DF">
        <w:rPr>
          <w:rFonts w:cs="Helvetica"/>
        </w:rPr>
        <w:t>wordt toegewezen</w:t>
      </w:r>
      <w:r w:rsidR="002405B9" w:rsidRPr="008E33DF">
        <w:rPr>
          <w:rFonts w:cs="Helvetica"/>
        </w:rPr>
        <w:t>.</w:t>
      </w:r>
    </w:p>
    <w:p w:rsidR="00EE4332" w:rsidRPr="008E33DF" w:rsidRDefault="00EE4332">
      <w:pPr>
        <w:rPr>
          <w:rFonts w:cs="Helvetica"/>
          <w:b/>
        </w:rPr>
      </w:pPr>
    </w:p>
    <w:p w:rsidR="00064C49" w:rsidRPr="008E33DF" w:rsidRDefault="00064C49">
      <w:pPr>
        <w:rPr>
          <w:rFonts w:cs="Helvetica"/>
          <w:b/>
          <w:color w:val="548DD4" w:themeColor="text2" w:themeTint="99"/>
        </w:rPr>
      </w:pPr>
    </w:p>
    <w:p w:rsidR="00064C49" w:rsidRPr="008E33DF" w:rsidRDefault="00064C49">
      <w:pPr>
        <w:rPr>
          <w:rFonts w:cs="Helvetica"/>
          <w:b/>
          <w:color w:val="548DD4" w:themeColor="text2" w:themeTint="99"/>
        </w:rPr>
      </w:pPr>
    </w:p>
    <w:p w:rsidR="009D5400" w:rsidRPr="008E33DF" w:rsidRDefault="009D5400">
      <w:pPr>
        <w:rPr>
          <w:rFonts w:cs="Helvetica"/>
          <w:b/>
          <w:color w:val="548DD4" w:themeColor="text2" w:themeTint="99"/>
        </w:rPr>
      </w:pPr>
    </w:p>
    <w:p w:rsidR="009D5400" w:rsidRPr="008E33DF" w:rsidRDefault="009D5400">
      <w:pPr>
        <w:rPr>
          <w:rFonts w:cs="Helvetica"/>
          <w:b/>
          <w:color w:val="548DD4" w:themeColor="text2" w:themeTint="99"/>
        </w:rPr>
      </w:pPr>
    </w:p>
    <w:p w:rsidR="009D5400" w:rsidRPr="008E33DF" w:rsidRDefault="009D5400">
      <w:pPr>
        <w:rPr>
          <w:rFonts w:cs="Helvetica"/>
          <w:b/>
          <w:color w:val="548DD4" w:themeColor="text2" w:themeTint="99"/>
        </w:rPr>
      </w:pPr>
    </w:p>
    <w:p w:rsidR="009D5400" w:rsidRPr="008E33DF" w:rsidRDefault="009D5400">
      <w:pPr>
        <w:rPr>
          <w:rFonts w:cs="Helvetica"/>
          <w:b/>
          <w:color w:val="548DD4" w:themeColor="text2" w:themeTint="99"/>
        </w:rPr>
      </w:pPr>
    </w:p>
    <w:p w:rsidR="004A0522" w:rsidRPr="008E33DF" w:rsidRDefault="004A0522">
      <w:pPr>
        <w:rPr>
          <w:rFonts w:cs="Helvetica"/>
          <w:b/>
          <w:color w:val="548DD4" w:themeColor="text2" w:themeTint="99"/>
        </w:rPr>
      </w:pPr>
    </w:p>
    <w:p w:rsidR="00E92C05" w:rsidRPr="008E33DF" w:rsidRDefault="000617A0" w:rsidP="005E7558">
      <w:pPr>
        <w:pStyle w:val="Kop2"/>
      </w:pPr>
      <w:bookmarkStart w:id="34" w:name="_Toc454253663"/>
      <w:r w:rsidRPr="008E33DF">
        <w:lastRenderedPageBreak/>
        <w:t xml:space="preserve">4.2 Het beroep </w:t>
      </w:r>
      <w:r w:rsidR="00C71DF6" w:rsidRPr="008E33DF">
        <w:t>wordt afgewezen</w:t>
      </w:r>
      <w:bookmarkEnd w:id="34"/>
    </w:p>
    <w:p w:rsidR="00064C49" w:rsidRPr="008E33DF" w:rsidRDefault="00064C49">
      <w:pPr>
        <w:rPr>
          <w:rFonts w:cs="Helvetica"/>
          <w:b/>
          <w:color w:val="548DD4" w:themeColor="text2" w:themeTint="99"/>
        </w:rPr>
      </w:pPr>
    </w:p>
    <w:p w:rsidR="00064C49" w:rsidRPr="008E33DF" w:rsidRDefault="00064C49" w:rsidP="00064C49">
      <w:pPr>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color w:val="000000"/>
          <w:sz w:val="16"/>
          <w:szCs w:val="16"/>
          <w:lang w:eastAsia="nl-NL"/>
        </w:rPr>
        <w:t>Tabel 1, toetsing op de beoordelingsfactoren</w:t>
      </w:r>
      <w:r w:rsidR="00135F24" w:rsidRPr="008E33DF">
        <w:rPr>
          <w:rFonts w:ascii="Calibri" w:eastAsia="Times New Roman" w:hAnsi="Calibri" w:cs="Times New Roman"/>
          <w:b/>
          <w:bCs/>
          <w:color w:val="000000"/>
          <w:sz w:val="16"/>
          <w:szCs w:val="16"/>
          <w:lang w:eastAsia="nl-NL"/>
        </w:rPr>
        <w:t>,</w:t>
      </w:r>
    </w:p>
    <w:p w:rsidR="00064C49" w:rsidRPr="008E33DF" w:rsidRDefault="00064C49" w:rsidP="00064C49">
      <w:pPr>
        <w:rPr>
          <w:sz w:val="16"/>
          <w:szCs w:val="16"/>
        </w:rPr>
      </w:pPr>
      <w:r w:rsidRPr="008E33DF">
        <w:rPr>
          <w:rFonts w:ascii="Calibri" w:eastAsia="Times New Roman" w:hAnsi="Calibri" w:cs="Times New Roman"/>
          <w:b/>
          <w:bCs/>
          <w:color w:val="000000"/>
          <w:sz w:val="16"/>
          <w:szCs w:val="16"/>
          <w:lang w:eastAsia="nl-NL"/>
        </w:rPr>
        <w:t>beroep op art. 7:232 lid 2</w:t>
      </w:r>
      <w:r w:rsidR="00F26BCD" w:rsidRPr="008E33DF">
        <w:rPr>
          <w:rFonts w:ascii="Calibri" w:eastAsia="Times New Roman" w:hAnsi="Calibri" w:cs="Times New Roman"/>
          <w:b/>
          <w:bCs/>
          <w:color w:val="000000"/>
          <w:sz w:val="16"/>
          <w:szCs w:val="16"/>
          <w:lang w:eastAsia="nl-NL"/>
        </w:rPr>
        <w:t xml:space="preserve"> BW</w:t>
      </w:r>
      <w:r w:rsidRPr="008E33DF">
        <w:rPr>
          <w:rFonts w:ascii="Calibri" w:eastAsia="Times New Roman" w:hAnsi="Calibri" w:cs="Times New Roman"/>
          <w:b/>
          <w:bCs/>
          <w:color w:val="000000"/>
          <w:sz w:val="16"/>
          <w:szCs w:val="16"/>
          <w:lang w:eastAsia="nl-NL"/>
        </w:rPr>
        <w:t xml:space="preserve"> wordt afgewezen.</w:t>
      </w:r>
    </w:p>
    <w:tbl>
      <w:tblPr>
        <w:tblStyle w:val="Lichtraster4"/>
        <w:tblW w:w="5353" w:type="dxa"/>
        <w:tblInd w:w="108" w:type="dxa"/>
        <w:tblLayout w:type="fixed"/>
        <w:tblLook w:val="04A0"/>
      </w:tblPr>
      <w:tblGrid>
        <w:gridCol w:w="955"/>
        <w:gridCol w:w="709"/>
        <w:gridCol w:w="708"/>
        <w:gridCol w:w="850"/>
        <w:gridCol w:w="709"/>
        <w:gridCol w:w="709"/>
        <w:gridCol w:w="713"/>
      </w:tblGrid>
      <w:tr w:rsidR="00064C49" w:rsidRPr="008E33DF" w:rsidTr="0069159C">
        <w:trPr>
          <w:cnfStyle w:val="100000000000"/>
        </w:trPr>
        <w:tc>
          <w:tcPr>
            <w:cnfStyle w:val="001000000000"/>
            <w:tcW w:w="5353" w:type="dxa"/>
            <w:gridSpan w:val="7"/>
            <w:vAlign w:val="bottom"/>
          </w:tcPr>
          <w:p w:rsidR="00064C49" w:rsidRPr="008E33DF" w:rsidRDefault="00064C49" w:rsidP="00064C49">
            <w:pPr>
              <w:spacing w:line="240" w:lineRule="auto"/>
              <w:jc w:val="center"/>
              <w:rPr>
                <w:rFonts w:ascii="Calibri" w:eastAsia="Times New Roman" w:hAnsi="Calibri" w:cs="Times New Roman"/>
                <w:bCs w:val="0"/>
                <w:color w:val="000000"/>
                <w:sz w:val="16"/>
                <w:szCs w:val="16"/>
                <w:lang w:eastAsia="nl-NL"/>
              </w:rPr>
            </w:pPr>
            <w:r w:rsidRPr="008E33DF">
              <w:rPr>
                <w:rFonts w:ascii="Calibri" w:eastAsia="Times New Roman" w:hAnsi="Calibri" w:cs="Times New Roman"/>
                <w:bCs w:val="0"/>
                <w:color w:val="000000"/>
                <w:sz w:val="16"/>
                <w:szCs w:val="16"/>
                <w:lang w:eastAsia="nl-NL"/>
              </w:rPr>
              <w:t>Categorieën</w:t>
            </w:r>
          </w:p>
        </w:tc>
      </w:tr>
      <w:tr w:rsidR="00064C49" w:rsidRPr="008E33DF" w:rsidTr="0069159C">
        <w:trPr>
          <w:cnfStyle w:val="000000100000"/>
        </w:trPr>
        <w:tc>
          <w:tcPr>
            <w:cnfStyle w:val="001000000000"/>
            <w:tcW w:w="955" w:type="dxa"/>
            <w:tcBorders>
              <w:bottom w:val="single" w:sz="18" w:space="0" w:color="000000" w:themeColor="text1"/>
            </w:tcBorders>
            <w:shd w:val="clear" w:color="auto" w:fill="auto"/>
            <w:vAlign w:val="bottom"/>
          </w:tcPr>
          <w:p w:rsidR="00064C49" w:rsidRPr="008E33DF" w:rsidRDefault="00064C49" w:rsidP="00064C49">
            <w:pPr>
              <w:spacing w:line="240" w:lineRule="auto"/>
              <w:jc w:val="center"/>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Nummers uitspraken</w:t>
            </w:r>
          </w:p>
        </w:tc>
        <w:tc>
          <w:tcPr>
            <w:tcW w:w="709" w:type="dxa"/>
            <w:tcBorders>
              <w:bottom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Aard van het gehuurde</w:t>
            </w:r>
          </w:p>
        </w:tc>
        <w:tc>
          <w:tcPr>
            <w:tcW w:w="708" w:type="dxa"/>
            <w:tcBorders>
              <w:bottom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Aard van het gebruik</w:t>
            </w:r>
          </w:p>
        </w:tc>
        <w:tc>
          <w:tcPr>
            <w:tcW w:w="850" w:type="dxa"/>
            <w:tcBorders>
              <w:bottom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Bedoelingen van partijen</w:t>
            </w:r>
          </w:p>
        </w:tc>
        <w:tc>
          <w:tcPr>
            <w:tcW w:w="709" w:type="dxa"/>
            <w:tcBorders>
              <w:bottom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Duur van het gebruik</w:t>
            </w:r>
          </w:p>
        </w:tc>
        <w:tc>
          <w:tcPr>
            <w:tcW w:w="709" w:type="dxa"/>
            <w:tcBorders>
              <w:bottom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Overig</w:t>
            </w:r>
          </w:p>
        </w:tc>
        <w:tc>
          <w:tcPr>
            <w:tcW w:w="713" w:type="dxa"/>
            <w:tcBorders>
              <w:bottom w:val="single" w:sz="18" w:space="0" w:color="000000" w:themeColor="text1"/>
            </w:tcBorders>
            <w:shd w:val="clear" w:color="auto" w:fill="auto"/>
            <w:vAlign w:val="bottom"/>
          </w:tcPr>
          <w:p w:rsidR="00064C49" w:rsidRPr="008E33DF" w:rsidRDefault="00064C49" w:rsidP="00064C49">
            <w:pPr>
              <w:spacing w:line="240" w:lineRule="auto"/>
              <w:jc w:val="center"/>
              <w:cnfStyle w:val="000000100000"/>
              <w:rPr>
                <w:rFonts w:asciiTheme="minorHAnsi" w:hAnsiTheme="minorHAnsi"/>
                <w:sz w:val="12"/>
                <w:szCs w:val="12"/>
              </w:rPr>
            </w:pPr>
          </w:p>
        </w:tc>
      </w:tr>
      <w:tr w:rsidR="00064C49" w:rsidRPr="008E33DF" w:rsidTr="0069159C">
        <w:trPr>
          <w:cnfStyle w:val="000000010000"/>
        </w:trPr>
        <w:tc>
          <w:tcPr>
            <w:cnfStyle w:val="001000000000"/>
            <w:tcW w:w="955" w:type="dxa"/>
            <w:tcBorders>
              <w:top w:val="single" w:sz="18" w:space="0" w:color="000000" w:themeColor="text1"/>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1</w:t>
            </w:r>
          </w:p>
        </w:tc>
        <w:tc>
          <w:tcPr>
            <w:tcW w:w="709" w:type="dxa"/>
            <w:tcBorders>
              <w:top w:val="single" w:sz="18" w:space="0" w:color="000000" w:themeColor="text1"/>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85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9" w:type="dxa"/>
            <w:tcBorders>
              <w:top w:val="single" w:sz="18" w:space="0" w:color="000000" w:themeColor="text1"/>
              <w:left w:val="dotted" w:sz="4" w:space="0" w:color="auto"/>
              <w:bottom w:val="dotted" w:sz="4" w:space="0" w:color="auto"/>
              <w:right w:val="dotted" w:sz="4" w:space="0" w:color="auto"/>
            </w:tcBorders>
            <w:shd w:val="clear" w:color="auto" w:fill="FABF8F" w:themeFill="accent6"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single" w:sz="18" w:space="0" w:color="000000" w:themeColor="text1"/>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13" w:type="dxa"/>
            <w:tcBorders>
              <w:top w:val="single" w:sz="18" w:space="0" w:color="000000" w:themeColor="text1"/>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68281B" w:rsidP="00064C49">
            <w:pPr>
              <w:spacing w:line="240" w:lineRule="auto"/>
              <w:jc w:val="center"/>
              <w:cnfStyle w:val="000000010000"/>
              <w:rPr>
                <w:rFonts w:asciiTheme="minorHAnsi" w:hAnsiTheme="minorHAnsi"/>
                <w:b/>
                <w:sz w:val="12"/>
                <w:szCs w:val="12"/>
              </w:rPr>
            </w:pPr>
            <w:r w:rsidRPr="008E33DF">
              <w:rPr>
                <w:rFonts w:asciiTheme="minorHAnsi" w:hAnsiTheme="minorHAnsi"/>
                <w:b/>
                <w:noProof/>
                <w:sz w:val="12"/>
                <w:szCs w:val="12"/>
                <w:lang w:eastAsia="nl-NL"/>
              </w:rPr>
              <w:drawing>
                <wp:anchor distT="0" distB="0" distL="114300" distR="114300" simplePos="0" relativeHeight="251684864" behindDoc="0" locked="0" layoutInCell="1" allowOverlap="1">
                  <wp:simplePos x="0" y="0"/>
                  <wp:positionH relativeFrom="column">
                    <wp:posOffset>471805</wp:posOffset>
                  </wp:positionH>
                  <wp:positionV relativeFrom="paragraph">
                    <wp:posOffset>-36830</wp:posOffset>
                  </wp:positionV>
                  <wp:extent cx="3093720" cy="2694940"/>
                  <wp:effectExtent l="19050" t="0" r="11430" b="0"/>
                  <wp:wrapNone/>
                  <wp:docPr id="4"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064C49" w:rsidRPr="008E33DF">
              <w:rPr>
                <w:rFonts w:asciiTheme="minorHAnsi" w:hAnsiTheme="minorHAnsi"/>
                <w:b/>
                <w:sz w:val="12"/>
                <w:szCs w:val="12"/>
              </w:rPr>
              <w:t>3</w:t>
            </w:r>
          </w:p>
        </w:tc>
      </w:tr>
      <w:tr w:rsidR="00064C49" w:rsidRPr="008E33DF" w:rsidTr="0069159C">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2</w:t>
            </w:r>
          </w:p>
        </w:tc>
        <w:tc>
          <w:tcPr>
            <w:tcW w:w="709"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FABF8F" w:themeFill="accent6"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2</w:t>
            </w:r>
          </w:p>
        </w:tc>
      </w:tr>
      <w:tr w:rsidR="00064C49" w:rsidRPr="008E33DF" w:rsidTr="0069159C">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6</w:t>
            </w:r>
          </w:p>
        </w:tc>
        <w:tc>
          <w:tcPr>
            <w:tcW w:w="709" w:type="dxa"/>
            <w:tcBorders>
              <w:top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2</w:t>
            </w:r>
          </w:p>
        </w:tc>
      </w:tr>
      <w:tr w:rsidR="00064C49" w:rsidRPr="008E33DF" w:rsidTr="0069159C">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11</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4</w:t>
            </w:r>
          </w:p>
        </w:tc>
      </w:tr>
      <w:tr w:rsidR="00064C49" w:rsidRPr="008E33DF" w:rsidTr="0069159C">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13</w:t>
            </w:r>
          </w:p>
        </w:tc>
        <w:tc>
          <w:tcPr>
            <w:tcW w:w="709"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2</w:t>
            </w:r>
          </w:p>
        </w:tc>
      </w:tr>
      <w:tr w:rsidR="00064C49" w:rsidRPr="008E33DF" w:rsidTr="0069159C">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14</w:t>
            </w:r>
          </w:p>
        </w:tc>
        <w:tc>
          <w:tcPr>
            <w:tcW w:w="709"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w:t>
            </w:r>
          </w:p>
        </w:tc>
      </w:tr>
      <w:tr w:rsidR="00064C49" w:rsidRPr="008E33DF" w:rsidTr="0069159C">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15</w:t>
            </w:r>
          </w:p>
        </w:tc>
        <w:tc>
          <w:tcPr>
            <w:tcW w:w="709" w:type="dxa"/>
            <w:tcBorders>
              <w:top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4</w:t>
            </w:r>
          </w:p>
        </w:tc>
      </w:tr>
      <w:tr w:rsidR="00064C49" w:rsidRPr="008E33DF" w:rsidTr="0069159C">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17</w:t>
            </w:r>
          </w:p>
        </w:tc>
        <w:tc>
          <w:tcPr>
            <w:tcW w:w="709"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3</w:t>
            </w:r>
          </w:p>
        </w:tc>
      </w:tr>
      <w:tr w:rsidR="00064C49" w:rsidRPr="008E33DF" w:rsidTr="0069159C">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18</w:t>
            </w:r>
          </w:p>
        </w:tc>
        <w:tc>
          <w:tcPr>
            <w:tcW w:w="709" w:type="dxa"/>
            <w:tcBorders>
              <w:top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4</w:t>
            </w:r>
          </w:p>
        </w:tc>
      </w:tr>
      <w:tr w:rsidR="00064C49" w:rsidRPr="008E33DF" w:rsidTr="0069159C">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19</w:t>
            </w:r>
          </w:p>
        </w:tc>
        <w:tc>
          <w:tcPr>
            <w:tcW w:w="709"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FABF8F" w:themeFill="accent6"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2</w:t>
            </w:r>
          </w:p>
        </w:tc>
      </w:tr>
      <w:tr w:rsidR="00064C49" w:rsidRPr="008E33DF" w:rsidTr="0069159C">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20</w:t>
            </w:r>
          </w:p>
        </w:tc>
        <w:tc>
          <w:tcPr>
            <w:tcW w:w="709"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2</w:t>
            </w:r>
          </w:p>
        </w:tc>
      </w:tr>
      <w:tr w:rsidR="00064C49" w:rsidRPr="008E33DF" w:rsidTr="0069159C">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22</w:t>
            </w:r>
          </w:p>
        </w:tc>
        <w:tc>
          <w:tcPr>
            <w:tcW w:w="709"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2</w:t>
            </w:r>
          </w:p>
        </w:tc>
      </w:tr>
      <w:tr w:rsidR="00064C49" w:rsidRPr="008E33DF" w:rsidTr="0069159C">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23</w:t>
            </w:r>
          </w:p>
        </w:tc>
        <w:tc>
          <w:tcPr>
            <w:tcW w:w="709"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2</w:t>
            </w:r>
          </w:p>
        </w:tc>
      </w:tr>
      <w:tr w:rsidR="00064C49" w:rsidRPr="008E33DF" w:rsidTr="0069159C">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24</w:t>
            </w:r>
          </w:p>
        </w:tc>
        <w:tc>
          <w:tcPr>
            <w:tcW w:w="709" w:type="dxa"/>
            <w:tcBorders>
              <w:top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4</w:t>
            </w:r>
          </w:p>
        </w:tc>
      </w:tr>
      <w:tr w:rsidR="00064C49" w:rsidRPr="008E33DF" w:rsidTr="0069159C">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26</w:t>
            </w:r>
          </w:p>
        </w:tc>
        <w:tc>
          <w:tcPr>
            <w:tcW w:w="709" w:type="dxa"/>
            <w:tcBorders>
              <w:top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850"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3</w:t>
            </w:r>
          </w:p>
        </w:tc>
      </w:tr>
      <w:tr w:rsidR="00064C49" w:rsidRPr="008E33DF" w:rsidTr="0069159C">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27</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3</w:t>
            </w:r>
          </w:p>
        </w:tc>
      </w:tr>
      <w:tr w:rsidR="00064C49" w:rsidRPr="008E33DF" w:rsidTr="0069159C">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30</w:t>
            </w:r>
          </w:p>
        </w:tc>
        <w:tc>
          <w:tcPr>
            <w:tcW w:w="709" w:type="dxa"/>
            <w:tcBorders>
              <w:top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3</w:t>
            </w:r>
          </w:p>
        </w:tc>
      </w:tr>
      <w:tr w:rsidR="00064C49" w:rsidRPr="008E33DF" w:rsidTr="0069159C">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32</w:t>
            </w:r>
          </w:p>
        </w:tc>
        <w:tc>
          <w:tcPr>
            <w:tcW w:w="709" w:type="dxa"/>
            <w:tcBorders>
              <w:top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2</w:t>
            </w:r>
          </w:p>
        </w:tc>
      </w:tr>
      <w:tr w:rsidR="00064C49" w:rsidRPr="008E33DF" w:rsidTr="0069159C">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34</w:t>
            </w:r>
          </w:p>
        </w:tc>
        <w:tc>
          <w:tcPr>
            <w:tcW w:w="709"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2</w:t>
            </w:r>
          </w:p>
        </w:tc>
      </w:tr>
      <w:tr w:rsidR="00064C49" w:rsidRPr="008E33DF" w:rsidTr="0069159C">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35</w:t>
            </w:r>
          </w:p>
        </w:tc>
        <w:tc>
          <w:tcPr>
            <w:tcW w:w="709" w:type="dxa"/>
            <w:tcBorders>
              <w:top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850"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2</w:t>
            </w:r>
          </w:p>
        </w:tc>
      </w:tr>
      <w:tr w:rsidR="00064C49" w:rsidRPr="008E33DF" w:rsidTr="0069159C">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39</w:t>
            </w:r>
          </w:p>
        </w:tc>
        <w:tc>
          <w:tcPr>
            <w:tcW w:w="709" w:type="dxa"/>
            <w:tcBorders>
              <w:top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D99594" w:themeFill="accent2" w:themeFillTint="99"/>
            <w:vAlign w:val="center"/>
          </w:tcPr>
          <w:p w:rsidR="00064C49" w:rsidRPr="008E33DF" w:rsidRDefault="00064C49" w:rsidP="00064C49">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064C49" w:rsidRPr="008E33DF" w:rsidRDefault="00064C49" w:rsidP="00064C49">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2</w:t>
            </w:r>
          </w:p>
        </w:tc>
      </w:tr>
      <w:tr w:rsidR="00064C49" w:rsidRPr="008E33DF" w:rsidTr="0069159C">
        <w:trPr>
          <w:cnfStyle w:val="000000100000"/>
        </w:trPr>
        <w:tc>
          <w:tcPr>
            <w:cnfStyle w:val="001000000000"/>
            <w:tcW w:w="955" w:type="dxa"/>
            <w:tcBorders>
              <w:top w:val="single" w:sz="18" w:space="0" w:color="000000" w:themeColor="text1"/>
              <w:left w:val="single" w:sz="18" w:space="0" w:color="000000" w:themeColor="text1"/>
              <w:bottom w:val="single" w:sz="18" w:space="0" w:color="000000" w:themeColor="text1"/>
              <w:right w:val="dotted" w:sz="4" w:space="0" w:color="auto"/>
            </w:tcBorders>
            <w:shd w:val="clear" w:color="auto" w:fill="auto"/>
            <w:vAlign w:val="center"/>
          </w:tcPr>
          <w:p w:rsidR="00064C49" w:rsidRPr="008E33DF" w:rsidRDefault="00064C49" w:rsidP="00064C49">
            <w:pPr>
              <w:spacing w:line="240" w:lineRule="auto"/>
              <w:jc w:val="center"/>
              <w:rPr>
                <w:rFonts w:asciiTheme="minorHAnsi" w:hAnsiTheme="minorHAnsi"/>
                <w:sz w:val="12"/>
                <w:szCs w:val="12"/>
              </w:rPr>
            </w:pPr>
            <w:r w:rsidRPr="008E33DF">
              <w:rPr>
                <w:rFonts w:asciiTheme="minorHAnsi" w:hAnsiTheme="minorHAnsi"/>
                <w:sz w:val="12"/>
                <w:szCs w:val="12"/>
              </w:rPr>
              <w:t>21</w:t>
            </w:r>
          </w:p>
        </w:tc>
        <w:tc>
          <w:tcPr>
            <w:tcW w:w="709" w:type="dxa"/>
            <w:tcBorders>
              <w:top w:val="single" w:sz="18" w:space="0" w:color="000000" w:themeColor="text1"/>
              <w:bottom w:val="single" w:sz="18" w:space="0" w:color="000000" w:themeColor="text1"/>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11</w:t>
            </w:r>
          </w:p>
        </w:tc>
        <w:tc>
          <w:tcPr>
            <w:tcW w:w="708"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14</w:t>
            </w:r>
          </w:p>
        </w:tc>
        <w:tc>
          <w:tcPr>
            <w:tcW w:w="850"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11</w:t>
            </w:r>
          </w:p>
        </w:tc>
        <w:tc>
          <w:tcPr>
            <w:tcW w:w="709"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16</w:t>
            </w:r>
          </w:p>
        </w:tc>
        <w:tc>
          <w:tcPr>
            <w:tcW w:w="709"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2</w:t>
            </w:r>
          </w:p>
        </w:tc>
        <w:tc>
          <w:tcPr>
            <w:tcW w:w="713" w:type="dxa"/>
            <w:tcBorders>
              <w:top w:val="single" w:sz="18" w:space="0" w:color="000000" w:themeColor="text1"/>
              <w:left w:val="single" w:sz="18" w:space="0" w:color="000000" w:themeColor="text1"/>
              <w:bottom w:val="single" w:sz="18" w:space="0" w:color="000000" w:themeColor="text1"/>
              <w:right w:val="single" w:sz="12" w:space="0" w:color="000000" w:themeColor="text1"/>
            </w:tcBorders>
            <w:shd w:val="clear" w:color="auto" w:fill="auto"/>
            <w:vAlign w:val="center"/>
          </w:tcPr>
          <w:p w:rsidR="00064C49" w:rsidRPr="008E33DF" w:rsidRDefault="00064C49" w:rsidP="00064C49">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Totaal</w:t>
            </w:r>
          </w:p>
        </w:tc>
      </w:tr>
      <w:tr w:rsidR="00064C49" w:rsidRPr="008E33DF" w:rsidTr="0069159C">
        <w:trPr>
          <w:cnfStyle w:val="000000010000"/>
        </w:trPr>
        <w:tc>
          <w:tcPr>
            <w:cnfStyle w:val="001000000000"/>
            <w:tcW w:w="955" w:type="dxa"/>
            <w:tcBorders>
              <w:top w:val="single" w:sz="18" w:space="0" w:color="000000" w:themeColor="text1"/>
              <w:right w:val="dotted" w:sz="4" w:space="0" w:color="auto"/>
            </w:tcBorders>
            <w:shd w:val="clear" w:color="auto" w:fill="D99594" w:themeFill="accent2" w:themeFillTint="99"/>
            <w:vAlign w:val="center"/>
          </w:tcPr>
          <w:p w:rsidR="00064C49" w:rsidRPr="008E33DF" w:rsidRDefault="00064C49" w:rsidP="00064C49">
            <w:pPr>
              <w:spacing w:line="240" w:lineRule="auto"/>
              <w:jc w:val="center"/>
              <w:rPr>
                <w:rFonts w:asciiTheme="minorHAnsi" w:hAnsiTheme="minorHAnsi"/>
                <w:sz w:val="12"/>
                <w:szCs w:val="12"/>
              </w:rPr>
            </w:pPr>
          </w:p>
        </w:tc>
        <w:tc>
          <w:tcPr>
            <w:tcW w:w="4398" w:type="dxa"/>
            <w:gridSpan w:val="6"/>
            <w:tcBorders>
              <w:top w:val="single" w:sz="18" w:space="0" w:color="000000" w:themeColor="text1"/>
            </w:tcBorders>
            <w:shd w:val="clear" w:color="auto" w:fill="auto"/>
            <w:vAlign w:val="bottom"/>
          </w:tcPr>
          <w:p w:rsidR="00064C49" w:rsidRPr="008E33DF" w:rsidRDefault="00064C49" w:rsidP="00064C49">
            <w:pPr>
              <w:spacing w:line="240" w:lineRule="auto"/>
              <w:cnfStyle w:val="000000010000"/>
              <w:rPr>
                <w:rFonts w:asciiTheme="minorHAnsi" w:hAnsiTheme="minorHAnsi"/>
                <w:sz w:val="12"/>
                <w:szCs w:val="12"/>
              </w:rPr>
            </w:pPr>
            <w:r w:rsidRPr="008E33DF">
              <w:rPr>
                <w:rFonts w:asciiTheme="minorHAnsi" w:hAnsiTheme="minorHAnsi"/>
                <w:sz w:val="12"/>
                <w:szCs w:val="12"/>
              </w:rPr>
              <w:t xml:space="preserve">Beoordeling van deze factor geeft </w:t>
            </w:r>
            <w:r w:rsidRPr="008E33DF">
              <w:rPr>
                <w:rFonts w:asciiTheme="minorHAnsi" w:hAnsiTheme="minorHAnsi"/>
                <w:b/>
                <w:sz w:val="12"/>
                <w:szCs w:val="12"/>
              </w:rPr>
              <w:t>geen</w:t>
            </w:r>
            <w:r w:rsidRPr="008E33DF">
              <w:rPr>
                <w:rFonts w:asciiTheme="minorHAnsi" w:hAnsiTheme="minorHAnsi"/>
                <w:sz w:val="12"/>
                <w:szCs w:val="12"/>
              </w:rPr>
              <w:t xml:space="preserve"> aanleiding om aan te nemen dat hier sprake is van een huurovereenkomst die naar zijn aard van korte duur is.</w:t>
            </w:r>
          </w:p>
        </w:tc>
      </w:tr>
      <w:tr w:rsidR="00064C49" w:rsidRPr="008E33DF" w:rsidTr="0069159C">
        <w:trPr>
          <w:cnfStyle w:val="000000100000"/>
        </w:trPr>
        <w:tc>
          <w:tcPr>
            <w:cnfStyle w:val="001000000000"/>
            <w:tcW w:w="955" w:type="dxa"/>
            <w:tcBorders>
              <w:right w:val="dotted" w:sz="4" w:space="0" w:color="auto"/>
            </w:tcBorders>
            <w:shd w:val="clear" w:color="auto" w:fill="C2D69B" w:themeFill="accent3" w:themeFillTint="99"/>
            <w:vAlign w:val="center"/>
          </w:tcPr>
          <w:p w:rsidR="00064C49" w:rsidRPr="008E33DF" w:rsidRDefault="00064C49" w:rsidP="00064C49">
            <w:pPr>
              <w:spacing w:line="240" w:lineRule="auto"/>
              <w:jc w:val="center"/>
              <w:rPr>
                <w:rFonts w:asciiTheme="minorHAnsi" w:hAnsiTheme="minorHAnsi"/>
                <w:sz w:val="12"/>
                <w:szCs w:val="12"/>
              </w:rPr>
            </w:pPr>
          </w:p>
        </w:tc>
        <w:tc>
          <w:tcPr>
            <w:tcW w:w="4398" w:type="dxa"/>
            <w:gridSpan w:val="6"/>
            <w:shd w:val="clear" w:color="auto" w:fill="auto"/>
            <w:vAlign w:val="bottom"/>
          </w:tcPr>
          <w:p w:rsidR="00064C49" w:rsidRPr="008E33DF" w:rsidRDefault="00064C49" w:rsidP="00064C49">
            <w:pPr>
              <w:spacing w:line="240" w:lineRule="auto"/>
              <w:cnfStyle w:val="000000100000"/>
              <w:rPr>
                <w:rFonts w:asciiTheme="minorHAnsi" w:hAnsiTheme="minorHAnsi"/>
                <w:sz w:val="12"/>
                <w:szCs w:val="12"/>
              </w:rPr>
            </w:pPr>
            <w:r w:rsidRPr="008E33DF">
              <w:rPr>
                <w:rFonts w:asciiTheme="minorHAnsi" w:hAnsiTheme="minorHAnsi"/>
                <w:sz w:val="12"/>
                <w:szCs w:val="12"/>
              </w:rPr>
              <w:t xml:space="preserve">Beoordeling van deze factor geeft </w:t>
            </w:r>
            <w:r w:rsidRPr="008E33DF">
              <w:rPr>
                <w:rFonts w:asciiTheme="minorHAnsi" w:hAnsiTheme="minorHAnsi"/>
                <w:b/>
                <w:sz w:val="12"/>
                <w:szCs w:val="12"/>
              </w:rPr>
              <w:t>wel</w:t>
            </w:r>
            <w:r w:rsidRPr="008E33DF">
              <w:rPr>
                <w:rFonts w:asciiTheme="minorHAnsi" w:hAnsiTheme="minorHAnsi"/>
                <w:sz w:val="12"/>
                <w:szCs w:val="12"/>
              </w:rPr>
              <w:t xml:space="preserve"> aanleiding om aan te nemen dat hier sprake is van een huurovereenkomst die naar zijn aard van korte duur is.</w:t>
            </w:r>
          </w:p>
        </w:tc>
      </w:tr>
      <w:tr w:rsidR="00064C49" w:rsidRPr="008E33DF" w:rsidTr="0069159C">
        <w:trPr>
          <w:cnfStyle w:val="000000010000"/>
        </w:trPr>
        <w:tc>
          <w:tcPr>
            <w:cnfStyle w:val="001000000000"/>
            <w:tcW w:w="955" w:type="dxa"/>
            <w:tcBorders>
              <w:right w:val="dotted" w:sz="4" w:space="0" w:color="auto"/>
            </w:tcBorders>
            <w:shd w:val="clear" w:color="auto" w:fill="FABF8F" w:themeFill="accent6" w:themeFillTint="99"/>
            <w:vAlign w:val="center"/>
          </w:tcPr>
          <w:p w:rsidR="00064C49" w:rsidRPr="008E33DF" w:rsidRDefault="00064C49" w:rsidP="00064C49">
            <w:pPr>
              <w:spacing w:line="240" w:lineRule="auto"/>
              <w:jc w:val="center"/>
              <w:rPr>
                <w:rFonts w:asciiTheme="minorHAnsi" w:hAnsiTheme="minorHAnsi"/>
                <w:sz w:val="12"/>
                <w:szCs w:val="12"/>
              </w:rPr>
            </w:pPr>
          </w:p>
        </w:tc>
        <w:tc>
          <w:tcPr>
            <w:tcW w:w="4398" w:type="dxa"/>
            <w:gridSpan w:val="6"/>
            <w:shd w:val="clear" w:color="auto" w:fill="auto"/>
            <w:vAlign w:val="bottom"/>
          </w:tcPr>
          <w:p w:rsidR="00064C49" w:rsidRPr="008E33DF" w:rsidRDefault="00064C49" w:rsidP="00064C49">
            <w:pPr>
              <w:spacing w:line="240" w:lineRule="auto"/>
              <w:cnfStyle w:val="000000010000"/>
              <w:rPr>
                <w:rFonts w:asciiTheme="minorHAnsi" w:hAnsiTheme="minorHAnsi"/>
                <w:sz w:val="12"/>
                <w:szCs w:val="12"/>
              </w:rPr>
            </w:pPr>
            <w:r w:rsidRPr="008E33DF">
              <w:rPr>
                <w:rFonts w:asciiTheme="minorHAnsi" w:hAnsiTheme="minorHAnsi"/>
                <w:sz w:val="12"/>
                <w:szCs w:val="12"/>
              </w:rPr>
              <w:t>Hierbij doet het feit of omstandigheid niet af aan de beoordeling van de rechter.</w:t>
            </w:r>
          </w:p>
        </w:tc>
      </w:tr>
    </w:tbl>
    <w:p w:rsidR="00EE4332" w:rsidRPr="008E33DF" w:rsidRDefault="00EE4332">
      <w:pPr>
        <w:rPr>
          <w:rFonts w:cs="Helvetica"/>
          <w:b/>
          <w:color w:val="548DD4" w:themeColor="text2" w:themeTint="99"/>
        </w:rPr>
      </w:pPr>
    </w:p>
    <w:p w:rsidR="00BD1DA3" w:rsidRPr="008E33DF" w:rsidRDefault="00135F24">
      <w:pPr>
        <w:rPr>
          <w:rFonts w:cs="Helvetica"/>
        </w:rPr>
      </w:pPr>
      <w:r w:rsidRPr="008E33DF">
        <w:rPr>
          <w:rFonts w:cs="Helvetica"/>
        </w:rPr>
        <w:t>Uit t</w:t>
      </w:r>
      <w:r w:rsidR="000A77BD" w:rsidRPr="008E33DF">
        <w:rPr>
          <w:rFonts w:cs="Helvetica"/>
        </w:rPr>
        <w:t xml:space="preserve">abel 1 valt </w:t>
      </w:r>
      <w:r w:rsidR="0009213E" w:rsidRPr="008E33DF">
        <w:rPr>
          <w:rFonts w:cs="Helvetica"/>
        </w:rPr>
        <w:t>af</w:t>
      </w:r>
      <w:r w:rsidR="000A77BD" w:rsidRPr="008E33DF">
        <w:rPr>
          <w:rFonts w:cs="Helvetica"/>
        </w:rPr>
        <w:t xml:space="preserve"> te lezen dat </w:t>
      </w:r>
      <w:r w:rsidRPr="008E33DF">
        <w:rPr>
          <w:rFonts w:cs="Helvetica"/>
        </w:rPr>
        <w:t xml:space="preserve">de rechter </w:t>
      </w:r>
      <w:r w:rsidR="000A77BD" w:rsidRPr="008E33DF">
        <w:rPr>
          <w:rFonts w:cs="Helvetica"/>
        </w:rPr>
        <w:t xml:space="preserve">alleen bij </w:t>
      </w:r>
      <w:r w:rsidRPr="008E33DF">
        <w:rPr>
          <w:rFonts w:cs="Helvetica"/>
          <w:b/>
        </w:rPr>
        <w:t>vier</w:t>
      </w:r>
      <w:r w:rsidR="00BD1DA3" w:rsidRPr="008E33DF">
        <w:rPr>
          <w:rFonts w:cs="Helvetica"/>
        </w:rPr>
        <w:t xml:space="preserve"> uitspraken</w:t>
      </w:r>
      <w:r w:rsidR="000A77BD" w:rsidRPr="008E33DF">
        <w:rPr>
          <w:rFonts w:cs="Helvetica"/>
        </w:rPr>
        <w:t xml:space="preserve"> de rechter toetst op alle </w:t>
      </w:r>
      <w:r w:rsidR="000A77BD" w:rsidRPr="008E33DF">
        <w:rPr>
          <w:rFonts w:cs="Helvetica"/>
          <w:b/>
        </w:rPr>
        <w:t>vier</w:t>
      </w:r>
      <w:r w:rsidR="009D5400" w:rsidRPr="008E33DF">
        <w:rPr>
          <w:rFonts w:cs="Helvetica"/>
          <w:b/>
        </w:rPr>
        <w:t xml:space="preserve"> </w:t>
      </w:r>
      <w:r w:rsidR="006A2F48" w:rsidRPr="008E33DF">
        <w:rPr>
          <w:rFonts w:cs="Helvetica"/>
        </w:rPr>
        <w:t>beoordelings</w:t>
      </w:r>
      <w:r w:rsidR="00BD1DA3" w:rsidRPr="008E33DF">
        <w:rPr>
          <w:rFonts w:cs="Helvetica"/>
        </w:rPr>
        <w:t>factoren</w:t>
      </w:r>
      <w:r w:rsidR="000A77BD" w:rsidRPr="008E33DF">
        <w:rPr>
          <w:rFonts w:cs="Helvetica"/>
        </w:rPr>
        <w:t xml:space="preserve">. Bij </w:t>
      </w:r>
      <w:r w:rsidRPr="008E33DF">
        <w:rPr>
          <w:rFonts w:cs="Helvetica"/>
          <w:b/>
        </w:rPr>
        <w:t>elf</w:t>
      </w:r>
      <w:r w:rsidR="00BD1DA3" w:rsidRPr="008E33DF">
        <w:rPr>
          <w:rFonts w:cs="Helvetica"/>
        </w:rPr>
        <w:t xml:space="preserve"> uitspraken toetst de rechter slecht</w:t>
      </w:r>
      <w:r w:rsidR="005C7B5E" w:rsidRPr="008E33DF">
        <w:rPr>
          <w:rFonts w:cs="Helvetica"/>
        </w:rPr>
        <w:t>s</w:t>
      </w:r>
      <w:r w:rsidR="00BD1DA3" w:rsidRPr="008E33DF">
        <w:rPr>
          <w:rFonts w:cs="Helvetica"/>
        </w:rPr>
        <w:t xml:space="preserve"> op </w:t>
      </w:r>
      <w:r w:rsidR="00BD1DA3" w:rsidRPr="008E33DF">
        <w:rPr>
          <w:rFonts w:cs="Helvetica"/>
          <w:b/>
        </w:rPr>
        <w:t>twee</w:t>
      </w:r>
      <w:r w:rsidR="005C7B5E" w:rsidRPr="008E33DF">
        <w:rPr>
          <w:rFonts w:cs="Helvetica"/>
        </w:rPr>
        <w:t xml:space="preserve"> factoren.</w:t>
      </w:r>
      <w:r w:rsidR="009D5400" w:rsidRPr="008E33DF">
        <w:rPr>
          <w:rFonts w:cs="Helvetica"/>
        </w:rPr>
        <w:t xml:space="preserve"> </w:t>
      </w:r>
      <w:r w:rsidR="005C7B5E" w:rsidRPr="008E33DF">
        <w:rPr>
          <w:rFonts w:cs="Helvetica"/>
        </w:rPr>
        <w:t>B</w:t>
      </w:r>
      <w:r w:rsidR="00BD1DA3" w:rsidRPr="008E33DF">
        <w:rPr>
          <w:rFonts w:cs="Helvetica"/>
        </w:rPr>
        <w:t xml:space="preserve">ij </w:t>
      </w:r>
      <w:r w:rsidRPr="008E33DF">
        <w:rPr>
          <w:rFonts w:cs="Helvetica"/>
          <w:b/>
        </w:rPr>
        <w:t>vijf</w:t>
      </w:r>
      <w:r w:rsidR="007F4AD2" w:rsidRPr="008E33DF">
        <w:rPr>
          <w:rFonts w:cs="Helvetica"/>
        </w:rPr>
        <w:t xml:space="preserve"> uitspraken</w:t>
      </w:r>
      <w:r w:rsidR="00BD1DA3" w:rsidRPr="008E33DF">
        <w:rPr>
          <w:rFonts w:cs="Helvetica"/>
        </w:rPr>
        <w:t xml:space="preserve"> op </w:t>
      </w:r>
      <w:r w:rsidR="00BD1DA3" w:rsidRPr="008E33DF">
        <w:rPr>
          <w:rFonts w:cs="Helvetica"/>
          <w:b/>
        </w:rPr>
        <w:t>drie</w:t>
      </w:r>
      <w:r w:rsidR="00E17E44" w:rsidRPr="008E33DF">
        <w:rPr>
          <w:rFonts w:cs="Helvetica"/>
        </w:rPr>
        <w:t xml:space="preserve"> factoren en </w:t>
      </w:r>
      <w:r w:rsidRPr="008E33DF">
        <w:rPr>
          <w:rFonts w:cs="Helvetica"/>
          <w:b/>
        </w:rPr>
        <w:t>een</w:t>
      </w:r>
      <w:r w:rsidR="007F4AD2" w:rsidRPr="008E33DF">
        <w:rPr>
          <w:rFonts w:cs="Helvetica"/>
        </w:rPr>
        <w:t xml:space="preserve"> keer</w:t>
      </w:r>
      <w:r w:rsidR="00E17E44" w:rsidRPr="008E33DF">
        <w:rPr>
          <w:rFonts w:cs="Helvetica"/>
        </w:rPr>
        <w:t xml:space="preserve"> op slechts </w:t>
      </w:r>
      <w:r w:rsidRPr="008E33DF">
        <w:rPr>
          <w:rFonts w:cs="Helvetica"/>
          <w:b/>
        </w:rPr>
        <w:t>ee</w:t>
      </w:r>
      <w:r w:rsidR="00E17E44" w:rsidRPr="008E33DF">
        <w:rPr>
          <w:rFonts w:cs="Helvetica"/>
          <w:b/>
        </w:rPr>
        <w:t>n</w:t>
      </w:r>
      <w:r w:rsidR="00E17E44" w:rsidRPr="008E33DF">
        <w:rPr>
          <w:rFonts w:cs="Helvetica"/>
        </w:rPr>
        <w:t xml:space="preserve"> factor.</w:t>
      </w:r>
      <w:r w:rsidR="00EE3E5B" w:rsidRPr="008E33DF">
        <w:rPr>
          <w:rFonts w:cs="Helvetica"/>
        </w:rPr>
        <w:t xml:space="preserve"> Hieruit valt </w:t>
      </w:r>
      <w:r w:rsidR="005C7B5E" w:rsidRPr="008E33DF">
        <w:rPr>
          <w:rFonts w:cs="Helvetica"/>
        </w:rPr>
        <w:t>af te leiden</w:t>
      </w:r>
      <w:r w:rsidR="00BD1DA3" w:rsidRPr="008E33DF">
        <w:rPr>
          <w:rFonts w:cs="Helvetica"/>
        </w:rPr>
        <w:t xml:space="preserve"> dat de rechter niet </w:t>
      </w:r>
      <w:r w:rsidRPr="008E33DF">
        <w:rPr>
          <w:rFonts w:cs="Helvetica"/>
        </w:rPr>
        <w:t xml:space="preserve">op </w:t>
      </w:r>
      <w:r w:rsidR="00BD1DA3" w:rsidRPr="008E33DF">
        <w:rPr>
          <w:rFonts w:cs="Helvetica"/>
        </w:rPr>
        <w:t xml:space="preserve">elke factor hoeft te </w:t>
      </w:r>
      <w:r w:rsidRPr="008E33DF">
        <w:rPr>
          <w:rFonts w:cs="Helvetica"/>
        </w:rPr>
        <w:t>toetsen</w:t>
      </w:r>
      <w:r w:rsidR="00BD1DA3" w:rsidRPr="008E33DF">
        <w:rPr>
          <w:rFonts w:cs="Helvetica"/>
        </w:rPr>
        <w:t xml:space="preserve"> om tot</w:t>
      </w:r>
      <w:r w:rsidR="001453EE" w:rsidRPr="008E33DF">
        <w:rPr>
          <w:rFonts w:cs="Helvetica"/>
        </w:rPr>
        <w:t xml:space="preserve"> een</w:t>
      </w:r>
      <w:r w:rsidR="00BD1DA3" w:rsidRPr="008E33DF">
        <w:rPr>
          <w:rFonts w:cs="Helvetica"/>
        </w:rPr>
        <w:t xml:space="preserve"> oordeel te komen.</w:t>
      </w:r>
      <w:r w:rsidR="009D5400" w:rsidRPr="008E33DF">
        <w:rPr>
          <w:rFonts w:cs="Helvetica"/>
        </w:rPr>
        <w:t xml:space="preserve"> </w:t>
      </w:r>
      <w:r w:rsidR="00EE3E5B" w:rsidRPr="008E33DF">
        <w:rPr>
          <w:rFonts w:cs="Helvetica"/>
        </w:rPr>
        <w:t>Indien de rechter bij de toetsing</w:t>
      </w:r>
      <w:r w:rsidR="009D5400" w:rsidRPr="008E33DF">
        <w:rPr>
          <w:rFonts w:cs="Helvetica"/>
        </w:rPr>
        <w:t xml:space="preserve"> </w:t>
      </w:r>
      <w:r w:rsidRPr="008E33DF">
        <w:rPr>
          <w:rFonts w:cs="Helvetica"/>
        </w:rPr>
        <w:t>op</w:t>
      </w:r>
      <w:r w:rsidR="009D5400" w:rsidRPr="008E33DF">
        <w:rPr>
          <w:rFonts w:cs="Helvetica"/>
        </w:rPr>
        <w:t xml:space="preserve"> </w:t>
      </w:r>
      <w:r w:rsidRPr="008E33DF">
        <w:rPr>
          <w:rFonts w:cs="Helvetica"/>
        </w:rPr>
        <w:t>een</w:t>
      </w:r>
      <w:r w:rsidR="00EE3E5B" w:rsidRPr="008E33DF">
        <w:rPr>
          <w:rFonts w:cs="Helvetica"/>
        </w:rPr>
        <w:t xml:space="preserve"> van de </w:t>
      </w:r>
      <w:r w:rsidR="006A2F48" w:rsidRPr="008E33DF">
        <w:rPr>
          <w:rFonts w:cs="Helvetica"/>
        </w:rPr>
        <w:t>beoordelings</w:t>
      </w:r>
      <w:r w:rsidR="00EE3E5B" w:rsidRPr="008E33DF">
        <w:rPr>
          <w:rFonts w:cs="Helvetica"/>
        </w:rPr>
        <w:t>fac</w:t>
      </w:r>
      <w:r w:rsidR="005C7B5E" w:rsidRPr="008E33DF">
        <w:rPr>
          <w:rFonts w:cs="Helvetica"/>
        </w:rPr>
        <w:t xml:space="preserve">toren </w:t>
      </w:r>
      <w:r w:rsidRPr="008E33DF">
        <w:rPr>
          <w:rFonts w:cs="Helvetica"/>
        </w:rPr>
        <w:t xml:space="preserve">al </w:t>
      </w:r>
      <w:r w:rsidR="005C7B5E" w:rsidRPr="008E33DF">
        <w:rPr>
          <w:rFonts w:cs="Helvetica"/>
        </w:rPr>
        <w:t>tot het oordeel komt</w:t>
      </w:r>
      <w:r w:rsidRPr="008E33DF">
        <w:rPr>
          <w:rFonts w:cs="Helvetica"/>
        </w:rPr>
        <w:t>,</w:t>
      </w:r>
      <w:r w:rsidR="00EE3E5B" w:rsidRPr="008E33DF">
        <w:rPr>
          <w:rFonts w:cs="Helvetica"/>
        </w:rPr>
        <w:t xml:space="preserve"> da</w:t>
      </w:r>
      <w:r w:rsidR="001453EE" w:rsidRPr="008E33DF">
        <w:rPr>
          <w:rFonts w:cs="Helvetica"/>
        </w:rPr>
        <w:t>t die toetsing geen aanleiding g</w:t>
      </w:r>
      <w:r w:rsidR="00EE3E5B" w:rsidRPr="008E33DF">
        <w:rPr>
          <w:rFonts w:cs="Helvetica"/>
        </w:rPr>
        <w:t xml:space="preserve">eeft de overeenkomst te kwalificeren als een huurovereenkomst </w:t>
      </w:r>
      <w:r w:rsidR="006A2F48" w:rsidRPr="008E33DF">
        <w:rPr>
          <w:rFonts w:cs="Helvetica"/>
        </w:rPr>
        <w:t>die</w:t>
      </w:r>
      <w:r w:rsidR="00EE3E5B" w:rsidRPr="008E33DF">
        <w:rPr>
          <w:rFonts w:cs="Helvetica"/>
        </w:rPr>
        <w:t xml:space="preserve"> naar zij</w:t>
      </w:r>
      <w:r w:rsidR="00120E06" w:rsidRPr="008E33DF">
        <w:rPr>
          <w:rFonts w:cs="Helvetica"/>
        </w:rPr>
        <w:t>n aard van korte duur is,</w:t>
      </w:r>
      <w:r w:rsidR="006A2F48" w:rsidRPr="008E33DF">
        <w:rPr>
          <w:rFonts w:cs="Helvetica"/>
        </w:rPr>
        <w:t xml:space="preserve"> wordt</w:t>
      </w:r>
      <w:r w:rsidR="005C7B5E" w:rsidRPr="008E33DF">
        <w:rPr>
          <w:rFonts w:cs="Helvetica"/>
        </w:rPr>
        <w:t xml:space="preserve"> beroep op het</w:t>
      </w:r>
      <w:r w:rsidR="00EE3E5B" w:rsidRPr="008E33DF">
        <w:rPr>
          <w:rFonts w:cs="Helvetica"/>
        </w:rPr>
        <w:t xml:space="preserve"> art. 7:232 lid 2 BW</w:t>
      </w:r>
      <w:r w:rsidR="006A2F48" w:rsidRPr="008E33DF">
        <w:rPr>
          <w:rFonts w:cs="Helvetica"/>
        </w:rPr>
        <w:t xml:space="preserve"> afgewezen</w:t>
      </w:r>
      <w:r w:rsidR="00EE3E5B" w:rsidRPr="008E33DF">
        <w:rPr>
          <w:rFonts w:cs="Helvetica"/>
        </w:rPr>
        <w:t>.</w:t>
      </w:r>
      <w:r w:rsidR="009D5400" w:rsidRPr="008E33DF">
        <w:rPr>
          <w:rFonts w:cs="Helvetica"/>
        </w:rPr>
        <w:t xml:space="preserve"> </w:t>
      </w:r>
      <w:r w:rsidR="00FF3BA5" w:rsidRPr="008E33DF">
        <w:rPr>
          <w:rFonts w:cs="Helvetica"/>
        </w:rPr>
        <w:t xml:space="preserve">Dit blijkt nog meer als er gekeken wordt naar de kleuren in </w:t>
      </w:r>
      <w:r w:rsidRPr="008E33DF">
        <w:rPr>
          <w:rFonts w:cs="Helvetica"/>
        </w:rPr>
        <w:t>t</w:t>
      </w:r>
      <w:r w:rsidR="00FF3BA5" w:rsidRPr="008E33DF">
        <w:rPr>
          <w:rFonts w:cs="Helvetica"/>
        </w:rPr>
        <w:t xml:space="preserve">abel 1. </w:t>
      </w:r>
      <w:r w:rsidRPr="008E33DF">
        <w:rPr>
          <w:rFonts w:cs="Helvetica"/>
        </w:rPr>
        <w:t>Bij enkele uitspraken is te zien</w:t>
      </w:r>
      <w:r w:rsidR="003F74F6" w:rsidRPr="008E33DF">
        <w:rPr>
          <w:rFonts w:cs="Helvetica"/>
        </w:rPr>
        <w:t>, dat</w:t>
      </w:r>
      <w:r w:rsidR="00FF3BA5" w:rsidRPr="008E33DF">
        <w:rPr>
          <w:rFonts w:cs="Helvetica"/>
        </w:rPr>
        <w:t xml:space="preserve"> de toetsing op </w:t>
      </w:r>
      <w:r w:rsidR="003F74F6" w:rsidRPr="008E33DF">
        <w:rPr>
          <w:rFonts w:cs="Helvetica"/>
        </w:rPr>
        <w:t>ee</w:t>
      </w:r>
      <w:r w:rsidR="00FF3BA5" w:rsidRPr="008E33DF">
        <w:rPr>
          <w:rFonts w:cs="Helvetica"/>
        </w:rPr>
        <w:t xml:space="preserve">n van de </w:t>
      </w:r>
      <w:r w:rsidR="006A2F48" w:rsidRPr="008E33DF">
        <w:rPr>
          <w:rFonts w:cs="Helvetica"/>
        </w:rPr>
        <w:t>beoordelings</w:t>
      </w:r>
      <w:r w:rsidR="00FF3BA5" w:rsidRPr="008E33DF">
        <w:rPr>
          <w:rFonts w:cs="Helvetica"/>
        </w:rPr>
        <w:t>factoren aanleiding geeft om de huurovereenkomst</w:t>
      </w:r>
      <w:r w:rsidR="001453EE" w:rsidRPr="008E33DF">
        <w:rPr>
          <w:rFonts w:cs="Helvetica"/>
        </w:rPr>
        <w:t xml:space="preserve"> wel</w:t>
      </w:r>
      <w:r w:rsidR="00FF3BA5" w:rsidRPr="008E33DF">
        <w:rPr>
          <w:rFonts w:cs="Helvetica"/>
        </w:rPr>
        <w:t xml:space="preserve"> te kenmerken als een huurovereenkomst </w:t>
      </w:r>
      <w:r w:rsidR="003F74F6" w:rsidRPr="008E33DF">
        <w:rPr>
          <w:rFonts w:cs="Helvetica"/>
        </w:rPr>
        <w:t>die</w:t>
      </w:r>
      <w:r w:rsidR="00FF3BA5" w:rsidRPr="008E33DF">
        <w:rPr>
          <w:rFonts w:cs="Helvetica"/>
        </w:rPr>
        <w:t xml:space="preserve"> naar zijn aard van korte duur is. Echter</w:t>
      </w:r>
      <w:r w:rsidR="005C7B5E" w:rsidRPr="008E33DF">
        <w:rPr>
          <w:rFonts w:cs="Helvetica"/>
        </w:rPr>
        <w:t>,</w:t>
      </w:r>
      <w:r w:rsidR="00FF3BA5" w:rsidRPr="008E33DF">
        <w:rPr>
          <w:rFonts w:cs="Helvetica"/>
        </w:rPr>
        <w:t xml:space="preserve"> het feit dat de toetsing op een ander</w:t>
      </w:r>
      <w:r w:rsidR="005C7B5E" w:rsidRPr="008E33DF">
        <w:rPr>
          <w:rFonts w:cs="Helvetica"/>
        </w:rPr>
        <w:t>e</w:t>
      </w:r>
      <w:r w:rsidR="009D5400" w:rsidRPr="008E33DF">
        <w:rPr>
          <w:rFonts w:cs="Helvetica"/>
        </w:rPr>
        <w:t xml:space="preserve"> </w:t>
      </w:r>
      <w:r w:rsidR="006A2F48" w:rsidRPr="008E33DF">
        <w:rPr>
          <w:rFonts w:cs="Helvetica"/>
        </w:rPr>
        <w:t>beoordelings</w:t>
      </w:r>
      <w:r w:rsidR="00FF3BA5" w:rsidRPr="008E33DF">
        <w:rPr>
          <w:rFonts w:cs="Helvetica"/>
        </w:rPr>
        <w:t>factor geen aanleiding geeft om de huurovereenkomst al</w:t>
      </w:r>
      <w:r w:rsidR="003F74F6" w:rsidRPr="008E33DF">
        <w:rPr>
          <w:rFonts w:cs="Helvetica"/>
        </w:rPr>
        <w:t>s zodanig aan te merken, maakt</w:t>
      </w:r>
      <w:r w:rsidR="00FF3BA5" w:rsidRPr="008E33DF">
        <w:rPr>
          <w:rFonts w:cs="Helvetica"/>
        </w:rPr>
        <w:t xml:space="preserve"> dat het beroep </w:t>
      </w:r>
      <w:r w:rsidR="006A2F48" w:rsidRPr="008E33DF">
        <w:rPr>
          <w:rFonts w:cs="Helvetica"/>
        </w:rPr>
        <w:t>wordt afgewezen</w:t>
      </w:r>
      <w:r w:rsidR="00FF3BA5" w:rsidRPr="008E33DF">
        <w:rPr>
          <w:rFonts w:cs="Helvetica"/>
        </w:rPr>
        <w:t>.</w:t>
      </w:r>
    </w:p>
    <w:p w:rsidR="006A2F48" w:rsidRPr="008E33DF" w:rsidRDefault="006A2F48">
      <w:pPr>
        <w:rPr>
          <w:rFonts w:cs="Helvetica"/>
        </w:rPr>
      </w:pPr>
    </w:p>
    <w:p w:rsidR="000A77BD" w:rsidRPr="008E33DF" w:rsidRDefault="005C7B5E">
      <w:pPr>
        <w:rPr>
          <w:rFonts w:cs="Helvetica"/>
        </w:rPr>
      </w:pPr>
      <w:r w:rsidRPr="008E33DF">
        <w:rPr>
          <w:rFonts w:cs="Helvetica"/>
        </w:rPr>
        <w:t xml:space="preserve">Verder valt uit </w:t>
      </w:r>
      <w:r w:rsidR="003F74F6" w:rsidRPr="008E33DF">
        <w:rPr>
          <w:rFonts w:cs="Helvetica"/>
        </w:rPr>
        <w:t>t</w:t>
      </w:r>
      <w:r w:rsidRPr="008E33DF">
        <w:rPr>
          <w:rFonts w:cs="Helvetica"/>
        </w:rPr>
        <w:t>abel 1 af</w:t>
      </w:r>
      <w:r w:rsidR="000D398D" w:rsidRPr="008E33DF">
        <w:rPr>
          <w:rFonts w:cs="Helvetica"/>
        </w:rPr>
        <w:t xml:space="preserve"> te lezen dat de rechter </w:t>
      </w:r>
      <w:r w:rsidR="003F74F6" w:rsidRPr="008E33DF">
        <w:rPr>
          <w:rFonts w:cs="Helvetica"/>
          <w:b/>
        </w:rPr>
        <w:t>elf</w:t>
      </w:r>
      <w:r w:rsidR="000D398D" w:rsidRPr="008E33DF">
        <w:rPr>
          <w:rFonts w:cs="Helvetica"/>
        </w:rPr>
        <w:t xml:space="preserve"> keer toetst op de </w:t>
      </w:r>
      <w:r w:rsidR="000D398D" w:rsidRPr="008E33DF">
        <w:rPr>
          <w:rFonts w:cs="Helvetica"/>
          <w:b/>
        </w:rPr>
        <w:t xml:space="preserve">aard van </w:t>
      </w:r>
      <w:r w:rsidR="00F770FF" w:rsidRPr="008E33DF">
        <w:rPr>
          <w:rFonts w:cs="Helvetica"/>
          <w:b/>
        </w:rPr>
        <w:t>het gehuurde</w:t>
      </w:r>
      <w:r w:rsidR="000D398D" w:rsidRPr="008E33DF">
        <w:rPr>
          <w:rFonts w:cs="Helvetica"/>
        </w:rPr>
        <w:t xml:space="preserve">, </w:t>
      </w:r>
      <w:r w:rsidR="003F74F6" w:rsidRPr="008E33DF">
        <w:rPr>
          <w:rFonts w:cs="Helvetica"/>
          <w:b/>
        </w:rPr>
        <w:t>veertien</w:t>
      </w:r>
      <w:r w:rsidR="000D398D" w:rsidRPr="008E33DF">
        <w:rPr>
          <w:rFonts w:cs="Helvetica"/>
        </w:rPr>
        <w:t xml:space="preserve"> keer op de </w:t>
      </w:r>
      <w:r w:rsidR="000D398D" w:rsidRPr="008E33DF">
        <w:rPr>
          <w:rFonts w:cs="Helvetica"/>
          <w:b/>
        </w:rPr>
        <w:t>aard van het gebruik</w:t>
      </w:r>
      <w:r w:rsidR="000D398D" w:rsidRPr="008E33DF">
        <w:rPr>
          <w:rFonts w:cs="Helvetica"/>
        </w:rPr>
        <w:t xml:space="preserve">, </w:t>
      </w:r>
      <w:r w:rsidR="003F74F6" w:rsidRPr="008E33DF">
        <w:rPr>
          <w:rFonts w:cs="Helvetica"/>
          <w:b/>
        </w:rPr>
        <w:t>elf</w:t>
      </w:r>
      <w:r w:rsidR="000D398D" w:rsidRPr="008E33DF">
        <w:rPr>
          <w:rFonts w:cs="Helvetica"/>
        </w:rPr>
        <w:t xml:space="preserve"> keer op de </w:t>
      </w:r>
      <w:r w:rsidR="000D398D" w:rsidRPr="008E33DF">
        <w:rPr>
          <w:rFonts w:cs="Helvetica"/>
          <w:b/>
        </w:rPr>
        <w:t>bedoelingen van partijen</w:t>
      </w:r>
      <w:r w:rsidR="000D398D" w:rsidRPr="008E33DF">
        <w:rPr>
          <w:rFonts w:cs="Helvetica"/>
        </w:rPr>
        <w:t xml:space="preserve"> en </w:t>
      </w:r>
      <w:r w:rsidR="003F74F6" w:rsidRPr="008E33DF">
        <w:rPr>
          <w:rFonts w:cs="Helvetica"/>
          <w:b/>
        </w:rPr>
        <w:t>zestien</w:t>
      </w:r>
      <w:r w:rsidR="000D398D" w:rsidRPr="008E33DF">
        <w:rPr>
          <w:rFonts w:cs="Helvetica"/>
        </w:rPr>
        <w:t xml:space="preserve"> keer op de </w:t>
      </w:r>
      <w:r w:rsidR="000D398D" w:rsidRPr="008E33DF">
        <w:rPr>
          <w:rFonts w:cs="Helvetica"/>
          <w:b/>
        </w:rPr>
        <w:t>duur van het gebruik</w:t>
      </w:r>
      <w:r w:rsidR="000D398D" w:rsidRPr="008E33DF">
        <w:rPr>
          <w:rFonts w:cs="Helvetica"/>
        </w:rPr>
        <w:t>.</w:t>
      </w:r>
      <w:r w:rsidR="009D5400" w:rsidRPr="008E33DF">
        <w:rPr>
          <w:rFonts w:cs="Helvetica"/>
        </w:rPr>
        <w:t xml:space="preserve"> </w:t>
      </w:r>
      <w:r w:rsidR="003F74F6" w:rsidRPr="008E33DF">
        <w:rPr>
          <w:rFonts w:cs="Helvetica"/>
        </w:rPr>
        <w:t>Kijkend naar de vier factoren</w:t>
      </w:r>
      <w:r w:rsidR="00980219" w:rsidRPr="008E33DF">
        <w:rPr>
          <w:rFonts w:cs="Helvetica"/>
        </w:rPr>
        <w:t>,</w:t>
      </w:r>
      <w:r w:rsidR="003F74F6" w:rsidRPr="008E33DF">
        <w:rPr>
          <w:rFonts w:cs="Helvetica"/>
        </w:rPr>
        <w:t xml:space="preserve"> blijken de aantallen niet veel van elkaar te verschillen</w:t>
      </w:r>
      <w:r w:rsidRPr="008E33DF">
        <w:rPr>
          <w:rFonts w:cs="Helvetica"/>
        </w:rPr>
        <w:t>,</w:t>
      </w:r>
      <w:r w:rsidR="00120E06" w:rsidRPr="008E33DF">
        <w:rPr>
          <w:rFonts w:cs="Helvetica"/>
        </w:rPr>
        <w:t>mits</w:t>
      </w:r>
      <w:r w:rsidR="001D6619" w:rsidRPr="008E33DF">
        <w:rPr>
          <w:rFonts w:cs="Helvetica"/>
        </w:rPr>
        <w:t xml:space="preserve"> we de </w:t>
      </w:r>
      <w:r w:rsidR="003F74F6" w:rsidRPr="008E33DF">
        <w:rPr>
          <w:rFonts w:cs="Helvetica"/>
        </w:rPr>
        <w:t>drie</w:t>
      </w:r>
      <w:r w:rsidR="001D6619" w:rsidRPr="008E33DF">
        <w:rPr>
          <w:rFonts w:cs="Helvetica"/>
        </w:rPr>
        <w:t xml:space="preserve"> oranje velden aftrekken van het totaal van de </w:t>
      </w:r>
      <w:r w:rsidR="006A2F48" w:rsidRPr="008E33DF">
        <w:rPr>
          <w:rFonts w:cs="Helvetica"/>
        </w:rPr>
        <w:t>beoordelingsfactor</w:t>
      </w:r>
      <w:r w:rsidR="001D6619" w:rsidRPr="008E33DF">
        <w:rPr>
          <w:rFonts w:cs="Helvetica"/>
        </w:rPr>
        <w:t xml:space="preserve">: duur van het gebruik. </w:t>
      </w:r>
      <w:r w:rsidR="00F26900" w:rsidRPr="008E33DF">
        <w:rPr>
          <w:rFonts w:cs="Helvetica"/>
        </w:rPr>
        <w:t xml:space="preserve">Bij deze </w:t>
      </w:r>
      <w:r w:rsidR="003F74F6" w:rsidRPr="008E33DF">
        <w:rPr>
          <w:rFonts w:cs="Helvetica"/>
        </w:rPr>
        <w:t>drie</w:t>
      </w:r>
      <w:r w:rsidRPr="008E33DF">
        <w:rPr>
          <w:rFonts w:cs="Helvetica"/>
        </w:rPr>
        <w:t xml:space="preserve"> oranje velden wordt weliswaar</w:t>
      </w:r>
      <w:r w:rsidR="00F26900" w:rsidRPr="008E33DF">
        <w:rPr>
          <w:rFonts w:cs="Helvetica"/>
        </w:rPr>
        <w:t xml:space="preserve"> een toetsing gedaan</w:t>
      </w:r>
      <w:r w:rsidR="00AB1E25" w:rsidRPr="008E33DF">
        <w:rPr>
          <w:rFonts w:cs="Helvetica"/>
        </w:rPr>
        <w:t xml:space="preserve">, maar </w:t>
      </w:r>
      <w:r w:rsidR="00853FB2" w:rsidRPr="008E33DF">
        <w:rPr>
          <w:rFonts w:cs="Helvetica"/>
        </w:rPr>
        <w:t xml:space="preserve">doet </w:t>
      </w:r>
      <w:r w:rsidR="001D6619" w:rsidRPr="008E33DF">
        <w:rPr>
          <w:rFonts w:cs="Helvetica"/>
        </w:rPr>
        <w:t>de rechter in die gevallen niet echt een beoordeling</w:t>
      </w:r>
      <w:r w:rsidR="00AB1E25" w:rsidRPr="008E33DF">
        <w:rPr>
          <w:rFonts w:cs="Helvetica"/>
        </w:rPr>
        <w:t>. De recht</w:t>
      </w:r>
      <w:r w:rsidR="00365E05" w:rsidRPr="008E33DF">
        <w:rPr>
          <w:rFonts w:cs="Helvetica"/>
        </w:rPr>
        <w:t>er</w:t>
      </w:r>
      <w:r w:rsidR="00AB1E25" w:rsidRPr="008E33DF">
        <w:rPr>
          <w:rFonts w:cs="Helvetica"/>
        </w:rPr>
        <w:t xml:space="preserve">doet </w:t>
      </w:r>
      <w:r w:rsidR="00120E06" w:rsidRPr="008E33DF">
        <w:rPr>
          <w:rFonts w:cs="Helvetica"/>
        </w:rPr>
        <w:t>onder</w:t>
      </w:r>
      <w:r w:rsidR="00AB1E25" w:rsidRPr="008E33DF">
        <w:rPr>
          <w:rFonts w:cs="Helvetica"/>
        </w:rPr>
        <w:t xml:space="preserve"> deze </w:t>
      </w:r>
      <w:r w:rsidR="00120E06" w:rsidRPr="008E33DF">
        <w:rPr>
          <w:rFonts w:cs="Helvetica"/>
        </w:rPr>
        <w:t xml:space="preserve">omstandigheden </w:t>
      </w:r>
      <w:r w:rsidR="001D6619" w:rsidRPr="008E33DF">
        <w:rPr>
          <w:rFonts w:cs="Helvetica"/>
        </w:rPr>
        <w:t>slechts</w:t>
      </w:r>
      <w:r w:rsidR="00AB1E25" w:rsidRPr="008E33DF">
        <w:rPr>
          <w:rFonts w:cs="Helvetica"/>
        </w:rPr>
        <w:t xml:space="preserve"> een</w:t>
      </w:r>
      <w:r w:rsidR="001D6619" w:rsidRPr="008E33DF">
        <w:rPr>
          <w:rFonts w:cs="Helvetica"/>
        </w:rPr>
        <w:t xml:space="preserve"> toezeg</w:t>
      </w:r>
      <w:r w:rsidR="00AB1E25" w:rsidRPr="008E33DF">
        <w:rPr>
          <w:rFonts w:cs="Helvetica"/>
        </w:rPr>
        <w:t>ging</w:t>
      </w:r>
      <w:r w:rsidR="003F74F6" w:rsidRPr="008E33DF">
        <w:rPr>
          <w:rFonts w:cs="Helvetica"/>
        </w:rPr>
        <w:t>,</w:t>
      </w:r>
      <w:r w:rsidR="001D6619" w:rsidRPr="008E33DF">
        <w:rPr>
          <w:rFonts w:cs="Helvetica"/>
        </w:rPr>
        <w:t xml:space="preserve"> dat </w:t>
      </w:r>
      <w:r w:rsidR="00F770FF" w:rsidRPr="008E33DF">
        <w:rPr>
          <w:rFonts w:cs="Helvetica"/>
        </w:rPr>
        <w:t>het</w:t>
      </w:r>
      <w:r w:rsidR="009D5400" w:rsidRPr="008E33DF">
        <w:rPr>
          <w:rFonts w:cs="Helvetica"/>
        </w:rPr>
        <w:t xml:space="preserve"> </w:t>
      </w:r>
      <w:r w:rsidR="006A2F48" w:rsidRPr="008E33DF">
        <w:rPr>
          <w:rFonts w:cs="Helvetica"/>
        </w:rPr>
        <w:t>feit of</w:t>
      </w:r>
      <w:r w:rsidR="003F74F6" w:rsidRPr="008E33DF">
        <w:rPr>
          <w:rFonts w:cs="Helvetica"/>
        </w:rPr>
        <w:t xml:space="preserve"> de</w:t>
      </w:r>
      <w:r w:rsidR="009D5400" w:rsidRPr="008E33DF">
        <w:rPr>
          <w:rFonts w:cs="Helvetica"/>
        </w:rPr>
        <w:t xml:space="preserve"> </w:t>
      </w:r>
      <w:r w:rsidR="001D6619" w:rsidRPr="008E33DF">
        <w:rPr>
          <w:rFonts w:cs="Helvetica"/>
        </w:rPr>
        <w:t>omstandigheid niet af doet aan de beoordeling.</w:t>
      </w:r>
      <w:r w:rsidR="00120E06" w:rsidRPr="008E33DF">
        <w:rPr>
          <w:rFonts w:cs="Helvetica"/>
        </w:rPr>
        <w:t xml:space="preserve"> Welke </w:t>
      </w:r>
      <w:r w:rsidR="006A2F48" w:rsidRPr="008E33DF">
        <w:rPr>
          <w:rFonts w:cs="Helvetica"/>
        </w:rPr>
        <w:t xml:space="preserve">feiten of </w:t>
      </w:r>
      <w:r w:rsidR="00120E06" w:rsidRPr="008E33DF">
        <w:rPr>
          <w:rFonts w:cs="Helvetica"/>
        </w:rPr>
        <w:t>omstandigheden dat zijn</w:t>
      </w:r>
      <w:r w:rsidRPr="008E33DF">
        <w:rPr>
          <w:rFonts w:cs="Helvetica"/>
        </w:rPr>
        <w:t>,</w:t>
      </w:r>
      <w:r w:rsidR="00120E06" w:rsidRPr="008E33DF">
        <w:rPr>
          <w:rFonts w:cs="Helvetica"/>
        </w:rPr>
        <w:t xml:space="preserve"> wordt verder </w:t>
      </w:r>
      <w:r w:rsidRPr="008E33DF">
        <w:rPr>
          <w:rFonts w:cs="Helvetica"/>
        </w:rPr>
        <w:t>toegelicht</w:t>
      </w:r>
      <w:r w:rsidR="00120E06" w:rsidRPr="008E33DF">
        <w:rPr>
          <w:rFonts w:cs="Helvetica"/>
        </w:rPr>
        <w:t xml:space="preserve"> in het volgende hoofdstuk.</w:t>
      </w:r>
    </w:p>
    <w:p w:rsidR="00E06316" w:rsidRPr="008E33DF" w:rsidRDefault="005C7B5E">
      <w:pPr>
        <w:rPr>
          <w:rFonts w:cs="Helvetica"/>
        </w:rPr>
      </w:pPr>
      <w:r w:rsidRPr="008E33DF">
        <w:rPr>
          <w:rFonts w:cs="Helvetica"/>
        </w:rPr>
        <w:lastRenderedPageBreak/>
        <w:t>Slechts twee</w:t>
      </w:r>
      <w:r w:rsidR="00053880" w:rsidRPr="008E33DF">
        <w:rPr>
          <w:rFonts w:cs="Helvetica"/>
        </w:rPr>
        <w:t>maal wordt een toetsing gedaan op overige omstandigheden. Hieruit blijkt dat de vaste</w:t>
      </w:r>
      <w:r w:rsidRPr="008E33DF">
        <w:rPr>
          <w:rFonts w:cs="Helvetica"/>
        </w:rPr>
        <w:t xml:space="preserve"> rechtspraak</w:t>
      </w:r>
      <w:r w:rsidR="00053880" w:rsidRPr="008E33DF">
        <w:rPr>
          <w:rFonts w:cs="Helvetica"/>
        </w:rPr>
        <w:t xml:space="preserve"> gevolgd wordt door de rechtbanken</w:t>
      </w:r>
      <w:r w:rsidR="003F74F6" w:rsidRPr="008E33DF">
        <w:rPr>
          <w:rFonts w:cs="Helvetica"/>
        </w:rPr>
        <w:t xml:space="preserve"> (zie paragraaf 3.2.1)</w:t>
      </w:r>
      <w:r w:rsidR="00053880" w:rsidRPr="008E33DF">
        <w:rPr>
          <w:rFonts w:cs="Helvetica"/>
        </w:rPr>
        <w:t xml:space="preserve">. Er wordt namelijk vooral getoetst op de vier beoordelingsgronden. </w:t>
      </w:r>
      <w:r w:rsidR="007D536F" w:rsidRPr="008E33DF">
        <w:rPr>
          <w:rFonts w:cs="Helvetica"/>
        </w:rPr>
        <w:t>In de</w:t>
      </w:r>
      <w:r w:rsidR="003F74F6" w:rsidRPr="008E33DF">
        <w:rPr>
          <w:rFonts w:cs="Helvetica"/>
        </w:rPr>
        <w:t>ze</w:t>
      </w:r>
      <w:r w:rsidR="007D536F" w:rsidRPr="008E33DF">
        <w:rPr>
          <w:rFonts w:cs="Helvetica"/>
        </w:rPr>
        <w:t xml:space="preserve"> twee gevallen verwerpt de rechter het beroep op de grond dat de eiser onvoldoende aannemelijk heeft gemaakt dat er sprake </w:t>
      </w:r>
      <w:r w:rsidRPr="008E33DF">
        <w:rPr>
          <w:rFonts w:cs="Helvetica"/>
        </w:rPr>
        <w:t>is van een huurovereenkomst die</w:t>
      </w:r>
      <w:r w:rsidR="007D536F" w:rsidRPr="008E33DF">
        <w:rPr>
          <w:rFonts w:cs="Helvetica"/>
        </w:rPr>
        <w:t xml:space="preserve"> naar zijn aard van korte duur is</w:t>
      </w:r>
      <w:r w:rsidR="006A2F48" w:rsidRPr="008E33DF">
        <w:rPr>
          <w:rFonts w:cs="Helvetica"/>
        </w:rPr>
        <w:t>.</w:t>
      </w:r>
    </w:p>
    <w:p w:rsidR="00053880" w:rsidRPr="008E33DF" w:rsidRDefault="00053880">
      <w:pPr>
        <w:rPr>
          <w:rFonts w:cs="Helvetica"/>
          <w:b/>
          <w:color w:val="548DD4" w:themeColor="text2" w:themeTint="99"/>
        </w:rPr>
      </w:pPr>
    </w:p>
    <w:p w:rsidR="00053880" w:rsidRPr="008E33DF" w:rsidRDefault="000617A0" w:rsidP="005E7558">
      <w:pPr>
        <w:pStyle w:val="Kop2"/>
      </w:pPr>
      <w:bookmarkStart w:id="35" w:name="_Toc454253664"/>
      <w:r w:rsidRPr="008E33DF">
        <w:t xml:space="preserve">4.3 Het beroep </w:t>
      </w:r>
      <w:r w:rsidR="00C71DF6" w:rsidRPr="008E33DF">
        <w:t>wordt toegewezen</w:t>
      </w:r>
      <w:bookmarkEnd w:id="35"/>
    </w:p>
    <w:p w:rsidR="0068281B" w:rsidRPr="008E33DF" w:rsidRDefault="0068281B" w:rsidP="00EA2B8D">
      <w:pPr>
        <w:rPr>
          <w:rFonts w:ascii="Calibri" w:eastAsia="Times New Roman" w:hAnsi="Calibri" w:cs="Times New Roman"/>
          <w:b/>
          <w:bCs/>
          <w:color w:val="000000"/>
          <w:sz w:val="16"/>
          <w:szCs w:val="16"/>
          <w:lang w:eastAsia="nl-NL"/>
        </w:rPr>
      </w:pPr>
    </w:p>
    <w:p w:rsidR="00EA2B8D" w:rsidRPr="008E33DF" w:rsidRDefault="00EA2B8D" w:rsidP="00EA2B8D">
      <w:pPr>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color w:val="000000"/>
          <w:sz w:val="16"/>
          <w:szCs w:val="16"/>
          <w:lang w:eastAsia="nl-NL"/>
        </w:rPr>
        <w:t>Tabel 2, toetsing op de beoordelingsfactoren</w:t>
      </w:r>
      <w:r w:rsidR="003F74F6" w:rsidRPr="008E33DF">
        <w:rPr>
          <w:rFonts w:ascii="Calibri" w:eastAsia="Times New Roman" w:hAnsi="Calibri" w:cs="Times New Roman"/>
          <w:b/>
          <w:bCs/>
          <w:color w:val="000000"/>
          <w:sz w:val="16"/>
          <w:szCs w:val="16"/>
          <w:lang w:eastAsia="nl-NL"/>
        </w:rPr>
        <w:t>,</w:t>
      </w:r>
    </w:p>
    <w:p w:rsidR="00EA2B8D" w:rsidRPr="008E33DF" w:rsidRDefault="00EA2B8D" w:rsidP="00EA2B8D">
      <w:pPr>
        <w:rPr>
          <w:sz w:val="16"/>
          <w:szCs w:val="16"/>
        </w:rPr>
      </w:pPr>
      <w:r w:rsidRPr="008E33DF">
        <w:rPr>
          <w:rFonts w:ascii="Calibri" w:eastAsia="Times New Roman" w:hAnsi="Calibri" w:cs="Times New Roman"/>
          <w:b/>
          <w:bCs/>
          <w:color w:val="000000"/>
          <w:sz w:val="16"/>
          <w:szCs w:val="16"/>
          <w:lang w:eastAsia="nl-NL"/>
        </w:rPr>
        <w:t>beroep op art. 7:232 lid 2</w:t>
      </w:r>
      <w:r w:rsidR="00F26BCD" w:rsidRPr="008E33DF">
        <w:rPr>
          <w:rFonts w:ascii="Calibri" w:eastAsia="Times New Roman" w:hAnsi="Calibri" w:cs="Times New Roman"/>
          <w:b/>
          <w:bCs/>
          <w:color w:val="000000"/>
          <w:sz w:val="16"/>
          <w:szCs w:val="16"/>
          <w:lang w:eastAsia="nl-NL"/>
        </w:rPr>
        <w:t xml:space="preserve"> BW</w:t>
      </w:r>
      <w:r w:rsidRPr="008E33DF">
        <w:rPr>
          <w:rFonts w:ascii="Calibri" w:eastAsia="Times New Roman" w:hAnsi="Calibri" w:cs="Times New Roman"/>
          <w:b/>
          <w:bCs/>
          <w:color w:val="000000"/>
          <w:sz w:val="16"/>
          <w:szCs w:val="16"/>
          <w:lang w:eastAsia="nl-NL"/>
        </w:rPr>
        <w:t xml:space="preserve"> wordt toegewezen.</w:t>
      </w:r>
    </w:p>
    <w:tbl>
      <w:tblPr>
        <w:tblStyle w:val="Lichtraster4"/>
        <w:tblW w:w="5353" w:type="dxa"/>
        <w:tblInd w:w="108" w:type="dxa"/>
        <w:tblLayout w:type="fixed"/>
        <w:tblLook w:val="04A0"/>
      </w:tblPr>
      <w:tblGrid>
        <w:gridCol w:w="955"/>
        <w:gridCol w:w="709"/>
        <w:gridCol w:w="708"/>
        <w:gridCol w:w="850"/>
        <w:gridCol w:w="709"/>
        <w:gridCol w:w="709"/>
        <w:gridCol w:w="713"/>
      </w:tblGrid>
      <w:tr w:rsidR="00EA2B8D" w:rsidRPr="008E33DF" w:rsidTr="00EA2B8D">
        <w:trPr>
          <w:cnfStyle w:val="100000000000"/>
        </w:trPr>
        <w:tc>
          <w:tcPr>
            <w:cnfStyle w:val="001000000000"/>
            <w:tcW w:w="5353" w:type="dxa"/>
            <w:gridSpan w:val="7"/>
            <w:vAlign w:val="bottom"/>
          </w:tcPr>
          <w:p w:rsidR="00EA2B8D" w:rsidRPr="008E33DF" w:rsidRDefault="00EA2B8D" w:rsidP="00EA2B8D">
            <w:pPr>
              <w:spacing w:line="240" w:lineRule="auto"/>
              <w:jc w:val="center"/>
              <w:rPr>
                <w:rFonts w:asciiTheme="minorHAnsi" w:eastAsia="Times New Roman" w:hAnsiTheme="minorHAnsi" w:cs="Times New Roman"/>
                <w:bCs w:val="0"/>
                <w:color w:val="000000"/>
                <w:sz w:val="16"/>
                <w:szCs w:val="16"/>
                <w:lang w:eastAsia="nl-NL"/>
              </w:rPr>
            </w:pPr>
            <w:r w:rsidRPr="008E33DF">
              <w:rPr>
                <w:rFonts w:asciiTheme="minorHAnsi" w:eastAsia="Times New Roman" w:hAnsiTheme="minorHAnsi" w:cs="Times New Roman"/>
                <w:bCs w:val="0"/>
                <w:color w:val="000000"/>
                <w:sz w:val="16"/>
                <w:szCs w:val="16"/>
                <w:lang w:eastAsia="nl-NL"/>
              </w:rPr>
              <w:t>Categorieën</w:t>
            </w:r>
          </w:p>
        </w:tc>
      </w:tr>
      <w:tr w:rsidR="00EA2B8D" w:rsidRPr="008E33DF" w:rsidTr="00EA2B8D">
        <w:trPr>
          <w:cnfStyle w:val="000000100000"/>
        </w:trPr>
        <w:tc>
          <w:tcPr>
            <w:cnfStyle w:val="001000000000"/>
            <w:tcW w:w="955" w:type="dxa"/>
            <w:tcBorders>
              <w:bottom w:val="single" w:sz="18" w:space="0" w:color="000000" w:themeColor="text1"/>
            </w:tcBorders>
            <w:shd w:val="clear" w:color="auto" w:fill="auto"/>
            <w:vAlign w:val="bottom"/>
          </w:tcPr>
          <w:p w:rsidR="00EA2B8D" w:rsidRPr="008E33DF" w:rsidRDefault="00EA2B8D" w:rsidP="00EA2B8D">
            <w:pPr>
              <w:spacing w:line="240" w:lineRule="auto"/>
              <w:jc w:val="center"/>
              <w:rPr>
                <w:rFonts w:ascii="Calibri" w:eastAsia="Times New Roman" w:hAnsi="Calibri" w:cs="Times New Roman"/>
                <w:sz w:val="12"/>
                <w:szCs w:val="12"/>
                <w:lang w:eastAsia="nl-NL"/>
              </w:rPr>
            </w:pPr>
            <w:r w:rsidRPr="008E33DF">
              <w:rPr>
                <w:rFonts w:ascii="Calibri" w:eastAsia="Times New Roman" w:hAnsi="Calibri" w:cs="Times New Roman"/>
                <w:sz w:val="12"/>
                <w:szCs w:val="12"/>
                <w:lang w:eastAsia="nl-NL"/>
              </w:rPr>
              <w:t>Nummers uitspraken</w:t>
            </w:r>
          </w:p>
        </w:tc>
        <w:tc>
          <w:tcPr>
            <w:tcW w:w="709" w:type="dxa"/>
            <w:tcBorders>
              <w:bottom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Aard van het gehuurde</w:t>
            </w:r>
          </w:p>
        </w:tc>
        <w:tc>
          <w:tcPr>
            <w:tcW w:w="708" w:type="dxa"/>
            <w:tcBorders>
              <w:bottom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Aard van het gebruik</w:t>
            </w:r>
          </w:p>
        </w:tc>
        <w:tc>
          <w:tcPr>
            <w:tcW w:w="850" w:type="dxa"/>
            <w:tcBorders>
              <w:bottom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Bedoelingen van partijen</w:t>
            </w:r>
          </w:p>
        </w:tc>
        <w:tc>
          <w:tcPr>
            <w:tcW w:w="709" w:type="dxa"/>
            <w:tcBorders>
              <w:bottom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Duur van het gebruik</w:t>
            </w:r>
          </w:p>
        </w:tc>
        <w:tc>
          <w:tcPr>
            <w:tcW w:w="709" w:type="dxa"/>
            <w:tcBorders>
              <w:bottom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Overig</w:t>
            </w:r>
          </w:p>
        </w:tc>
        <w:tc>
          <w:tcPr>
            <w:tcW w:w="713" w:type="dxa"/>
            <w:tcBorders>
              <w:bottom w:val="single" w:sz="18" w:space="0" w:color="000000" w:themeColor="text1"/>
            </w:tcBorders>
            <w:shd w:val="clear" w:color="auto" w:fill="auto"/>
            <w:vAlign w:val="bottom"/>
          </w:tcPr>
          <w:p w:rsidR="00EA2B8D" w:rsidRPr="008E33DF" w:rsidRDefault="00EA2B8D" w:rsidP="00EA2B8D">
            <w:pPr>
              <w:spacing w:line="240" w:lineRule="auto"/>
              <w:jc w:val="center"/>
              <w:cnfStyle w:val="000000100000"/>
              <w:rPr>
                <w:rFonts w:asciiTheme="minorHAnsi" w:hAnsiTheme="minorHAnsi"/>
                <w:sz w:val="12"/>
                <w:szCs w:val="12"/>
              </w:rPr>
            </w:pPr>
          </w:p>
        </w:tc>
      </w:tr>
      <w:tr w:rsidR="00EA2B8D" w:rsidRPr="008E33DF" w:rsidTr="00EA2B8D">
        <w:trPr>
          <w:cnfStyle w:val="000000010000"/>
        </w:trPr>
        <w:tc>
          <w:tcPr>
            <w:cnfStyle w:val="001000000000"/>
            <w:tcW w:w="955" w:type="dxa"/>
            <w:tcBorders>
              <w:top w:val="single" w:sz="18" w:space="0" w:color="000000" w:themeColor="text1"/>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3</w:t>
            </w:r>
          </w:p>
        </w:tc>
        <w:tc>
          <w:tcPr>
            <w:tcW w:w="709" w:type="dxa"/>
            <w:tcBorders>
              <w:top w:val="single" w:sz="18" w:space="0" w:color="000000" w:themeColor="text1"/>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08" w:type="dxa"/>
            <w:tcBorders>
              <w:top w:val="single" w:sz="18" w:space="0" w:color="000000" w:themeColor="text1"/>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single" w:sz="18" w:space="0" w:color="000000" w:themeColor="text1"/>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single" w:sz="18" w:space="0" w:color="000000" w:themeColor="text1"/>
              <w:left w:val="dotted" w:sz="4" w:space="0" w:color="auto"/>
              <w:bottom w:val="dotted" w:sz="4" w:space="0" w:color="auto"/>
              <w:right w:val="dotted" w:sz="4" w:space="0" w:color="auto"/>
            </w:tcBorders>
            <w:shd w:val="clear" w:color="auto" w:fill="FABF8F" w:themeFill="accent6"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13" w:type="dxa"/>
            <w:tcBorders>
              <w:top w:val="single" w:sz="18" w:space="0" w:color="000000" w:themeColor="text1"/>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68281B" w:rsidP="00EA2B8D">
            <w:pPr>
              <w:spacing w:line="240" w:lineRule="auto"/>
              <w:jc w:val="center"/>
              <w:cnfStyle w:val="000000010000"/>
              <w:rPr>
                <w:rFonts w:asciiTheme="minorHAnsi" w:hAnsiTheme="minorHAnsi"/>
                <w:b/>
                <w:sz w:val="12"/>
                <w:szCs w:val="12"/>
              </w:rPr>
            </w:pPr>
            <w:r w:rsidRPr="008E33DF">
              <w:rPr>
                <w:rFonts w:asciiTheme="minorHAnsi" w:hAnsiTheme="minorHAnsi"/>
                <w:b/>
                <w:noProof/>
                <w:sz w:val="12"/>
                <w:szCs w:val="12"/>
                <w:lang w:eastAsia="nl-NL"/>
              </w:rPr>
              <w:drawing>
                <wp:anchor distT="0" distB="0" distL="114300" distR="114300" simplePos="0" relativeHeight="251685888" behindDoc="0" locked="0" layoutInCell="1" allowOverlap="1">
                  <wp:simplePos x="0" y="0"/>
                  <wp:positionH relativeFrom="column">
                    <wp:posOffset>455930</wp:posOffset>
                  </wp:positionH>
                  <wp:positionV relativeFrom="paragraph">
                    <wp:posOffset>-20955</wp:posOffset>
                  </wp:positionV>
                  <wp:extent cx="3094990" cy="2496185"/>
                  <wp:effectExtent l="19050" t="0" r="10160" b="0"/>
                  <wp:wrapNone/>
                  <wp:docPr id="12"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EA2B8D" w:rsidRPr="008E33DF">
              <w:rPr>
                <w:rFonts w:asciiTheme="minorHAnsi" w:hAnsiTheme="minorHAnsi"/>
                <w:b/>
                <w:sz w:val="12"/>
                <w:szCs w:val="12"/>
              </w:rPr>
              <w:t>3</w:t>
            </w:r>
          </w:p>
        </w:tc>
      </w:tr>
      <w:tr w:rsidR="00EA2B8D" w:rsidRPr="008E33DF" w:rsidTr="00EA2B8D">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4</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FABF8F" w:themeFill="accent6"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4</w:t>
            </w:r>
          </w:p>
        </w:tc>
      </w:tr>
      <w:tr w:rsidR="00EA2B8D" w:rsidRPr="008E33DF" w:rsidTr="00EA2B8D">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5</w:t>
            </w:r>
          </w:p>
        </w:tc>
        <w:tc>
          <w:tcPr>
            <w:tcW w:w="709"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3</w:t>
            </w:r>
          </w:p>
        </w:tc>
      </w:tr>
      <w:tr w:rsidR="00EA2B8D" w:rsidRPr="008E33DF" w:rsidTr="00EA2B8D">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7</w:t>
            </w:r>
          </w:p>
        </w:tc>
        <w:tc>
          <w:tcPr>
            <w:tcW w:w="709"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FABF8F" w:themeFill="accent6"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3</w:t>
            </w:r>
          </w:p>
        </w:tc>
      </w:tr>
      <w:tr w:rsidR="00EA2B8D" w:rsidRPr="008E33DF" w:rsidTr="00EA2B8D">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8</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FABF8F" w:themeFill="accent6"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4</w:t>
            </w:r>
          </w:p>
        </w:tc>
      </w:tr>
      <w:tr w:rsidR="00EA2B8D" w:rsidRPr="008E33DF" w:rsidTr="00EA2B8D">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9</w:t>
            </w:r>
          </w:p>
        </w:tc>
        <w:tc>
          <w:tcPr>
            <w:tcW w:w="709"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FABF8F" w:themeFill="accent6"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3</w:t>
            </w:r>
          </w:p>
        </w:tc>
      </w:tr>
      <w:tr w:rsidR="00EA2B8D" w:rsidRPr="008E33DF" w:rsidTr="00EA2B8D">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10</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4</w:t>
            </w:r>
          </w:p>
        </w:tc>
      </w:tr>
      <w:tr w:rsidR="00EA2B8D" w:rsidRPr="008E33DF" w:rsidTr="00EA2B8D">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12</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4</w:t>
            </w:r>
          </w:p>
        </w:tc>
      </w:tr>
      <w:tr w:rsidR="00EA2B8D" w:rsidRPr="008E33DF" w:rsidTr="00EA2B8D">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16</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2</w:t>
            </w:r>
          </w:p>
        </w:tc>
      </w:tr>
      <w:tr w:rsidR="00EA2B8D" w:rsidRPr="008E33DF" w:rsidTr="00EA2B8D">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21</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3</w:t>
            </w:r>
          </w:p>
        </w:tc>
      </w:tr>
      <w:tr w:rsidR="00EA2B8D" w:rsidRPr="008E33DF" w:rsidTr="00EA2B8D">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25</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FABF8F" w:themeFill="accent6"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4</w:t>
            </w:r>
          </w:p>
        </w:tc>
      </w:tr>
      <w:tr w:rsidR="00EA2B8D" w:rsidRPr="008E33DF" w:rsidTr="00EA2B8D">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28</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4</w:t>
            </w:r>
          </w:p>
        </w:tc>
      </w:tr>
      <w:tr w:rsidR="00EA2B8D" w:rsidRPr="008E33DF" w:rsidTr="00EA2B8D">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29</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FABF8F" w:themeFill="accent6"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4</w:t>
            </w:r>
          </w:p>
        </w:tc>
      </w:tr>
      <w:tr w:rsidR="00EA2B8D" w:rsidRPr="008E33DF" w:rsidTr="00EA2B8D">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31</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FABF8F" w:themeFill="accent6"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4</w:t>
            </w:r>
          </w:p>
        </w:tc>
      </w:tr>
      <w:tr w:rsidR="00EA2B8D" w:rsidRPr="008E33DF" w:rsidTr="00EA2B8D">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33</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4</w:t>
            </w:r>
          </w:p>
        </w:tc>
      </w:tr>
      <w:tr w:rsidR="00EA2B8D" w:rsidRPr="008E33DF" w:rsidTr="00EA2B8D">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36</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4</w:t>
            </w:r>
          </w:p>
        </w:tc>
      </w:tr>
      <w:tr w:rsidR="00EA2B8D" w:rsidRPr="008E33DF" w:rsidTr="00EA2B8D">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37</w:t>
            </w:r>
          </w:p>
        </w:tc>
        <w:tc>
          <w:tcPr>
            <w:tcW w:w="709" w:type="dxa"/>
            <w:tcBorders>
              <w:top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3</w:t>
            </w:r>
          </w:p>
        </w:tc>
      </w:tr>
      <w:tr w:rsidR="00EA2B8D" w:rsidRPr="008E33DF" w:rsidTr="00EA2B8D">
        <w:trPr>
          <w:cnfStyle w:val="00000010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38</w:t>
            </w:r>
          </w:p>
        </w:tc>
        <w:tc>
          <w:tcPr>
            <w:tcW w:w="709"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3</w:t>
            </w:r>
          </w:p>
        </w:tc>
      </w:tr>
      <w:tr w:rsidR="00EA2B8D" w:rsidRPr="008E33DF" w:rsidTr="00EA2B8D">
        <w:trPr>
          <w:cnfStyle w:val="000000010000"/>
        </w:trPr>
        <w:tc>
          <w:tcPr>
            <w:cnfStyle w:val="001000000000"/>
            <w:tcW w:w="955" w:type="dxa"/>
            <w:tcBorders>
              <w:top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40</w:t>
            </w:r>
          </w:p>
        </w:tc>
        <w:tc>
          <w:tcPr>
            <w:tcW w:w="709" w:type="dxa"/>
            <w:tcBorders>
              <w:top w:val="dotted" w:sz="4" w:space="0" w:color="auto"/>
              <w:bottom w:val="dotted" w:sz="4" w:space="0" w:color="auto"/>
              <w:right w:val="dotted" w:sz="4" w:space="0" w:color="auto"/>
            </w:tcBorders>
            <w:shd w:val="clear" w:color="auto" w:fill="FABF8F" w:themeFill="accent6"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8"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850"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C2D69B" w:themeFill="accent3" w:themeFillTint="99"/>
            <w:vAlign w:val="center"/>
          </w:tcPr>
          <w:p w:rsidR="00EA2B8D" w:rsidRPr="008E33DF" w:rsidRDefault="00EA2B8D" w:rsidP="00EA2B8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sz w:val="12"/>
                <w:szCs w:val="12"/>
              </w:rPr>
            </w:pPr>
          </w:p>
        </w:tc>
        <w:tc>
          <w:tcPr>
            <w:tcW w:w="713" w:type="dxa"/>
            <w:tcBorders>
              <w:top w:val="dotted" w:sz="4" w:space="0" w:color="auto"/>
              <w:left w:val="single" w:sz="18" w:space="0" w:color="000000" w:themeColor="text1"/>
              <w:bottom w:val="dotted" w:sz="4" w:space="0" w:color="auto"/>
              <w:right w:val="single" w:sz="18" w:space="0" w:color="000000" w:themeColor="text1"/>
            </w:tcBorders>
            <w:shd w:val="clear" w:color="auto" w:fill="auto"/>
            <w:vAlign w:val="center"/>
          </w:tcPr>
          <w:p w:rsidR="00EA2B8D" w:rsidRPr="008E33DF" w:rsidRDefault="00EA2B8D" w:rsidP="00EA2B8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4</w:t>
            </w:r>
          </w:p>
        </w:tc>
      </w:tr>
      <w:tr w:rsidR="00EA2B8D" w:rsidRPr="008E33DF" w:rsidTr="00EA2B8D">
        <w:trPr>
          <w:cnfStyle w:val="000000100000"/>
        </w:trPr>
        <w:tc>
          <w:tcPr>
            <w:cnfStyle w:val="001000000000"/>
            <w:tcW w:w="955" w:type="dxa"/>
            <w:tcBorders>
              <w:top w:val="single" w:sz="18" w:space="0" w:color="000000" w:themeColor="text1"/>
              <w:left w:val="single" w:sz="18" w:space="0" w:color="000000" w:themeColor="text1"/>
              <w:bottom w:val="single" w:sz="18" w:space="0" w:color="000000" w:themeColor="text1"/>
              <w:right w:val="dotted" w:sz="4" w:space="0" w:color="auto"/>
            </w:tcBorders>
            <w:shd w:val="clear" w:color="auto" w:fill="auto"/>
            <w:vAlign w:val="center"/>
          </w:tcPr>
          <w:p w:rsidR="00EA2B8D" w:rsidRPr="008E33DF" w:rsidRDefault="00EA2B8D" w:rsidP="00EA2B8D">
            <w:pPr>
              <w:spacing w:line="240" w:lineRule="auto"/>
              <w:jc w:val="center"/>
              <w:rPr>
                <w:sz w:val="12"/>
                <w:szCs w:val="12"/>
              </w:rPr>
            </w:pPr>
            <w:r w:rsidRPr="008E33DF">
              <w:rPr>
                <w:sz w:val="12"/>
                <w:szCs w:val="12"/>
              </w:rPr>
              <w:t>19</w:t>
            </w:r>
          </w:p>
        </w:tc>
        <w:tc>
          <w:tcPr>
            <w:tcW w:w="709" w:type="dxa"/>
            <w:tcBorders>
              <w:top w:val="single" w:sz="18" w:space="0" w:color="000000" w:themeColor="text1"/>
              <w:bottom w:val="single" w:sz="18" w:space="0" w:color="000000" w:themeColor="text1"/>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14</w:t>
            </w:r>
          </w:p>
        </w:tc>
        <w:tc>
          <w:tcPr>
            <w:tcW w:w="708"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19</w:t>
            </w:r>
          </w:p>
        </w:tc>
        <w:tc>
          <w:tcPr>
            <w:tcW w:w="850"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18</w:t>
            </w:r>
          </w:p>
        </w:tc>
        <w:tc>
          <w:tcPr>
            <w:tcW w:w="709"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15</w:t>
            </w:r>
          </w:p>
        </w:tc>
        <w:tc>
          <w:tcPr>
            <w:tcW w:w="709"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0</w:t>
            </w:r>
          </w:p>
        </w:tc>
        <w:tc>
          <w:tcPr>
            <w:tcW w:w="713" w:type="dxa"/>
            <w:tcBorders>
              <w:top w:val="single" w:sz="18" w:space="0" w:color="000000" w:themeColor="text1"/>
              <w:left w:val="single" w:sz="18" w:space="0" w:color="000000" w:themeColor="text1"/>
              <w:bottom w:val="single" w:sz="18" w:space="0" w:color="000000" w:themeColor="text1"/>
              <w:right w:val="single" w:sz="12" w:space="0" w:color="000000" w:themeColor="text1"/>
            </w:tcBorders>
            <w:shd w:val="clear" w:color="auto" w:fill="auto"/>
            <w:vAlign w:val="center"/>
          </w:tcPr>
          <w:p w:rsidR="00EA2B8D" w:rsidRPr="008E33DF" w:rsidRDefault="00EA2B8D" w:rsidP="00EA2B8D">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Totaal</w:t>
            </w:r>
          </w:p>
        </w:tc>
      </w:tr>
      <w:tr w:rsidR="00EA2B8D" w:rsidRPr="008E33DF" w:rsidTr="00EA2B8D">
        <w:trPr>
          <w:cnfStyle w:val="000000010000"/>
        </w:trPr>
        <w:tc>
          <w:tcPr>
            <w:cnfStyle w:val="001000000000"/>
            <w:tcW w:w="955" w:type="dxa"/>
            <w:tcBorders>
              <w:top w:val="single" w:sz="18" w:space="0" w:color="000000" w:themeColor="text1"/>
              <w:right w:val="dotted" w:sz="4" w:space="0" w:color="auto"/>
            </w:tcBorders>
            <w:shd w:val="clear" w:color="auto" w:fill="D99594" w:themeFill="accent2" w:themeFillTint="99"/>
            <w:vAlign w:val="center"/>
          </w:tcPr>
          <w:p w:rsidR="00EA2B8D" w:rsidRPr="008E33DF" w:rsidRDefault="00EA2B8D" w:rsidP="00EA2B8D">
            <w:pPr>
              <w:spacing w:line="240" w:lineRule="auto"/>
              <w:jc w:val="center"/>
              <w:rPr>
                <w:sz w:val="12"/>
                <w:szCs w:val="12"/>
              </w:rPr>
            </w:pPr>
          </w:p>
        </w:tc>
        <w:tc>
          <w:tcPr>
            <w:tcW w:w="4398" w:type="dxa"/>
            <w:gridSpan w:val="6"/>
            <w:tcBorders>
              <w:top w:val="single" w:sz="18" w:space="0" w:color="000000" w:themeColor="text1"/>
            </w:tcBorders>
            <w:shd w:val="clear" w:color="auto" w:fill="auto"/>
            <w:vAlign w:val="bottom"/>
          </w:tcPr>
          <w:p w:rsidR="00EA2B8D" w:rsidRPr="008E33DF" w:rsidRDefault="00EA2B8D" w:rsidP="00EA2B8D">
            <w:pPr>
              <w:spacing w:line="240" w:lineRule="auto"/>
              <w:cnfStyle w:val="000000010000"/>
              <w:rPr>
                <w:rFonts w:asciiTheme="minorHAnsi" w:hAnsiTheme="minorHAnsi"/>
                <w:sz w:val="12"/>
                <w:szCs w:val="12"/>
              </w:rPr>
            </w:pPr>
            <w:r w:rsidRPr="008E33DF">
              <w:rPr>
                <w:rFonts w:asciiTheme="minorHAnsi" w:hAnsiTheme="minorHAnsi"/>
                <w:sz w:val="12"/>
                <w:szCs w:val="12"/>
              </w:rPr>
              <w:t xml:space="preserve">Beoordeling van deze factor geeft </w:t>
            </w:r>
            <w:r w:rsidRPr="008E33DF">
              <w:rPr>
                <w:rFonts w:asciiTheme="minorHAnsi" w:hAnsiTheme="minorHAnsi"/>
                <w:b/>
                <w:sz w:val="12"/>
                <w:szCs w:val="12"/>
              </w:rPr>
              <w:t>geen</w:t>
            </w:r>
            <w:r w:rsidRPr="008E33DF">
              <w:rPr>
                <w:rFonts w:asciiTheme="minorHAnsi" w:hAnsiTheme="minorHAnsi"/>
                <w:sz w:val="12"/>
                <w:szCs w:val="12"/>
              </w:rPr>
              <w:t xml:space="preserve"> aanleiding om aan te nemen dat hier sprake is van een huurovereenkomst die naar zijn aard van korte duur is.</w:t>
            </w:r>
          </w:p>
        </w:tc>
      </w:tr>
      <w:tr w:rsidR="00EA2B8D" w:rsidRPr="008E33DF" w:rsidTr="00EA2B8D">
        <w:trPr>
          <w:cnfStyle w:val="000000100000"/>
        </w:trPr>
        <w:tc>
          <w:tcPr>
            <w:cnfStyle w:val="001000000000"/>
            <w:tcW w:w="955" w:type="dxa"/>
            <w:tcBorders>
              <w:right w:val="dotted" w:sz="4" w:space="0" w:color="auto"/>
            </w:tcBorders>
            <w:shd w:val="clear" w:color="auto" w:fill="C2D69B" w:themeFill="accent3" w:themeFillTint="99"/>
            <w:vAlign w:val="center"/>
          </w:tcPr>
          <w:p w:rsidR="00EA2B8D" w:rsidRPr="008E33DF" w:rsidRDefault="00EA2B8D" w:rsidP="00EA2B8D">
            <w:pPr>
              <w:spacing w:line="240" w:lineRule="auto"/>
              <w:jc w:val="center"/>
              <w:rPr>
                <w:sz w:val="12"/>
                <w:szCs w:val="12"/>
              </w:rPr>
            </w:pPr>
          </w:p>
        </w:tc>
        <w:tc>
          <w:tcPr>
            <w:tcW w:w="4398" w:type="dxa"/>
            <w:gridSpan w:val="6"/>
            <w:shd w:val="clear" w:color="auto" w:fill="auto"/>
            <w:vAlign w:val="bottom"/>
          </w:tcPr>
          <w:p w:rsidR="00EA2B8D" w:rsidRPr="008E33DF" w:rsidRDefault="00EA2B8D" w:rsidP="00EA2B8D">
            <w:pPr>
              <w:spacing w:line="240" w:lineRule="auto"/>
              <w:cnfStyle w:val="000000100000"/>
              <w:rPr>
                <w:rFonts w:asciiTheme="minorHAnsi" w:hAnsiTheme="minorHAnsi"/>
                <w:sz w:val="12"/>
                <w:szCs w:val="12"/>
              </w:rPr>
            </w:pPr>
            <w:r w:rsidRPr="008E33DF">
              <w:rPr>
                <w:rFonts w:asciiTheme="minorHAnsi" w:hAnsiTheme="minorHAnsi"/>
                <w:sz w:val="12"/>
                <w:szCs w:val="12"/>
              </w:rPr>
              <w:t xml:space="preserve">Beoordeling van deze factor geeft </w:t>
            </w:r>
            <w:r w:rsidRPr="008E33DF">
              <w:rPr>
                <w:rFonts w:asciiTheme="minorHAnsi" w:hAnsiTheme="minorHAnsi"/>
                <w:b/>
                <w:sz w:val="12"/>
                <w:szCs w:val="12"/>
              </w:rPr>
              <w:t>wel</w:t>
            </w:r>
            <w:r w:rsidRPr="008E33DF">
              <w:rPr>
                <w:rFonts w:asciiTheme="minorHAnsi" w:hAnsiTheme="minorHAnsi"/>
                <w:sz w:val="12"/>
                <w:szCs w:val="12"/>
              </w:rPr>
              <w:t xml:space="preserve"> aanleiding om aan te nemen dat hier sprake is van een huurovereenkomst die naar zijn aard van korte duur is.</w:t>
            </w:r>
          </w:p>
        </w:tc>
      </w:tr>
      <w:tr w:rsidR="00EA2B8D" w:rsidRPr="008E33DF" w:rsidTr="00EA2B8D">
        <w:trPr>
          <w:cnfStyle w:val="000000010000"/>
        </w:trPr>
        <w:tc>
          <w:tcPr>
            <w:cnfStyle w:val="001000000000"/>
            <w:tcW w:w="955" w:type="dxa"/>
            <w:tcBorders>
              <w:right w:val="dotted" w:sz="4" w:space="0" w:color="auto"/>
            </w:tcBorders>
            <w:shd w:val="clear" w:color="auto" w:fill="FABF8F" w:themeFill="accent6" w:themeFillTint="99"/>
            <w:vAlign w:val="center"/>
          </w:tcPr>
          <w:p w:rsidR="00EA2B8D" w:rsidRPr="008E33DF" w:rsidRDefault="00EA2B8D" w:rsidP="00EA2B8D">
            <w:pPr>
              <w:spacing w:line="240" w:lineRule="auto"/>
              <w:jc w:val="center"/>
              <w:rPr>
                <w:sz w:val="12"/>
                <w:szCs w:val="12"/>
              </w:rPr>
            </w:pPr>
          </w:p>
        </w:tc>
        <w:tc>
          <w:tcPr>
            <w:tcW w:w="4398" w:type="dxa"/>
            <w:gridSpan w:val="6"/>
            <w:shd w:val="clear" w:color="auto" w:fill="auto"/>
            <w:vAlign w:val="bottom"/>
          </w:tcPr>
          <w:p w:rsidR="00EA2B8D" w:rsidRPr="008E33DF" w:rsidRDefault="00EA2B8D" w:rsidP="00EA2B8D">
            <w:pPr>
              <w:spacing w:line="240" w:lineRule="auto"/>
              <w:cnfStyle w:val="000000010000"/>
              <w:rPr>
                <w:rFonts w:asciiTheme="minorHAnsi" w:hAnsiTheme="minorHAnsi"/>
                <w:sz w:val="12"/>
                <w:szCs w:val="12"/>
              </w:rPr>
            </w:pPr>
            <w:r w:rsidRPr="008E33DF">
              <w:rPr>
                <w:rFonts w:asciiTheme="minorHAnsi" w:hAnsiTheme="minorHAnsi"/>
                <w:sz w:val="12"/>
                <w:szCs w:val="12"/>
              </w:rPr>
              <w:t>Hierbij doet het feit of omstandigheid niet af aan de beoordeling van de rechter.</w:t>
            </w:r>
          </w:p>
        </w:tc>
      </w:tr>
    </w:tbl>
    <w:p w:rsidR="00C71DF6" w:rsidRPr="008E33DF" w:rsidRDefault="00C71DF6">
      <w:pPr>
        <w:rPr>
          <w:rFonts w:cs="Helvetica"/>
          <w:b/>
          <w:color w:val="548DD4" w:themeColor="text2" w:themeTint="99"/>
        </w:rPr>
      </w:pPr>
    </w:p>
    <w:p w:rsidR="005C7B5E" w:rsidRPr="008E33DF" w:rsidRDefault="00F26900">
      <w:pPr>
        <w:rPr>
          <w:rFonts w:cs="Helvetica"/>
        </w:rPr>
      </w:pPr>
      <w:r w:rsidRPr="008E33DF">
        <w:rPr>
          <w:rFonts w:cs="Helvetica"/>
        </w:rPr>
        <w:t>Tabel 2</w:t>
      </w:r>
      <w:r w:rsidR="0045342B" w:rsidRPr="008E33DF">
        <w:rPr>
          <w:rFonts w:cs="Helvetica"/>
        </w:rPr>
        <w:t xml:space="preserve"> bevat de </w:t>
      </w:r>
      <w:r w:rsidR="003F74F6" w:rsidRPr="008E33DF">
        <w:rPr>
          <w:rFonts w:cs="Helvetica"/>
        </w:rPr>
        <w:t>uitspraken</w:t>
      </w:r>
      <w:r w:rsidR="0045342B" w:rsidRPr="008E33DF">
        <w:rPr>
          <w:rFonts w:cs="Helvetica"/>
        </w:rPr>
        <w:t xml:space="preserve"> waarbij de rechter heeft geoordeeld dat er wel sprake </w:t>
      </w:r>
      <w:r w:rsidR="005C7B5E" w:rsidRPr="008E33DF">
        <w:rPr>
          <w:rFonts w:cs="Helvetica"/>
        </w:rPr>
        <w:t xml:space="preserve">is van een huurovereenkomst die </w:t>
      </w:r>
      <w:r w:rsidR="0045342B" w:rsidRPr="008E33DF">
        <w:rPr>
          <w:rFonts w:cs="Helvetica"/>
        </w:rPr>
        <w:t>naar zijn aard van korte duur is. Uit deze tabel is</w:t>
      </w:r>
      <w:r w:rsidR="009D5400" w:rsidRPr="008E33DF">
        <w:rPr>
          <w:rFonts w:cs="Helvetica"/>
        </w:rPr>
        <w:t xml:space="preserve"> </w:t>
      </w:r>
      <w:r w:rsidR="00AB1E25" w:rsidRPr="008E33DF">
        <w:rPr>
          <w:rFonts w:cs="Helvetica"/>
        </w:rPr>
        <w:t>af te lezen</w:t>
      </w:r>
      <w:r w:rsidR="00D42EB2" w:rsidRPr="008E33DF">
        <w:rPr>
          <w:rFonts w:cs="Helvetica"/>
        </w:rPr>
        <w:t xml:space="preserve"> dat de rechter </w:t>
      </w:r>
      <w:r w:rsidR="003F74F6" w:rsidRPr="008E33DF">
        <w:rPr>
          <w:rFonts w:cs="Helvetica"/>
          <w:b/>
        </w:rPr>
        <w:t>elf</w:t>
      </w:r>
      <w:r w:rsidR="00D42EB2" w:rsidRPr="008E33DF">
        <w:rPr>
          <w:rFonts w:cs="Helvetica"/>
        </w:rPr>
        <w:t xml:space="preserve"> keer toetst op alle </w:t>
      </w:r>
      <w:r w:rsidR="00D42EB2" w:rsidRPr="008E33DF">
        <w:rPr>
          <w:rFonts w:cs="Helvetica"/>
          <w:b/>
        </w:rPr>
        <w:t>vier</w:t>
      </w:r>
      <w:r w:rsidR="009D5400" w:rsidRPr="008E33DF">
        <w:rPr>
          <w:rFonts w:cs="Helvetica"/>
          <w:b/>
        </w:rPr>
        <w:t xml:space="preserve"> </w:t>
      </w:r>
      <w:r w:rsidR="006A2F48" w:rsidRPr="008E33DF">
        <w:rPr>
          <w:rFonts w:cs="Helvetica"/>
        </w:rPr>
        <w:t>beoordelings</w:t>
      </w:r>
      <w:r w:rsidR="00D42EB2" w:rsidRPr="008E33DF">
        <w:rPr>
          <w:rFonts w:cs="Helvetica"/>
        </w:rPr>
        <w:t xml:space="preserve">factoren, </w:t>
      </w:r>
      <w:r w:rsidR="003F74F6" w:rsidRPr="008E33DF">
        <w:rPr>
          <w:rFonts w:cs="Helvetica"/>
          <w:b/>
        </w:rPr>
        <w:t>zeven</w:t>
      </w:r>
      <w:r w:rsidR="00D42EB2" w:rsidRPr="008E33DF">
        <w:rPr>
          <w:rFonts w:cs="Helvetica"/>
        </w:rPr>
        <w:t xml:space="preserve"> keer op </w:t>
      </w:r>
      <w:r w:rsidR="00D42EB2" w:rsidRPr="008E33DF">
        <w:rPr>
          <w:rFonts w:cs="Helvetica"/>
          <w:b/>
        </w:rPr>
        <w:t>drie</w:t>
      </w:r>
      <w:r w:rsidR="003F74F6" w:rsidRPr="008E33DF">
        <w:rPr>
          <w:rFonts w:cs="Helvetica"/>
        </w:rPr>
        <w:t xml:space="preserve"> factoren en</w:t>
      </w:r>
      <w:r w:rsidR="009D5400" w:rsidRPr="008E33DF">
        <w:rPr>
          <w:rFonts w:cs="Helvetica"/>
        </w:rPr>
        <w:t xml:space="preserve"> </w:t>
      </w:r>
      <w:r w:rsidR="003F74F6" w:rsidRPr="008E33DF">
        <w:rPr>
          <w:rFonts w:cs="Helvetica"/>
          <w:b/>
        </w:rPr>
        <w:t>een</w:t>
      </w:r>
      <w:r w:rsidR="00D42EB2" w:rsidRPr="008E33DF">
        <w:rPr>
          <w:rFonts w:cs="Helvetica"/>
        </w:rPr>
        <w:t xml:space="preserve"> keer op </w:t>
      </w:r>
      <w:r w:rsidR="00D42EB2" w:rsidRPr="008E33DF">
        <w:rPr>
          <w:rFonts w:cs="Helvetica"/>
          <w:b/>
        </w:rPr>
        <w:t>twee</w:t>
      </w:r>
      <w:r w:rsidR="0045342B" w:rsidRPr="008E33DF">
        <w:rPr>
          <w:rFonts w:cs="Helvetica"/>
        </w:rPr>
        <w:t>factoren</w:t>
      </w:r>
      <w:r w:rsidR="00D42EB2" w:rsidRPr="008E33DF">
        <w:rPr>
          <w:rFonts w:cs="Helvetica"/>
        </w:rPr>
        <w:t xml:space="preserve">. In </w:t>
      </w:r>
      <w:r w:rsidR="003F74F6" w:rsidRPr="008E33DF">
        <w:rPr>
          <w:rFonts w:cs="Helvetica"/>
        </w:rPr>
        <w:t>achttien</w:t>
      </w:r>
      <w:r w:rsidR="00D42EB2" w:rsidRPr="008E33DF">
        <w:rPr>
          <w:rFonts w:cs="Helvetica"/>
        </w:rPr>
        <w:t xml:space="preserve"> van de </w:t>
      </w:r>
      <w:r w:rsidR="003F74F6" w:rsidRPr="008E33DF">
        <w:rPr>
          <w:rFonts w:cs="Helvetica"/>
        </w:rPr>
        <w:t>negentien</w:t>
      </w:r>
      <w:r w:rsidR="00D42EB2" w:rsidRPr="008E33DF">
        <w:rPr>
          <w:rFonts w:cs="Helvetica"/>
        </w:rPr>
        <w:t xml:space="preserve"> gevallen toetst de rechter op drie of meer</w:t>
      </w:r>
      <w:r w:rsidR="005C7B5E" w:rsidRPr="008E33DF">
        <w:rPr>
          <w:rFonts w:cs="Helvetica"/>
        </w:rPr>
        <w:t>dere</w:t>
      </w:r>
      <w:r w:rsidR="00D42EB2" w:rsidRPr="008E33DF">
        <w:rPr>
          <w:rFonts w:cs="Helvetica"/>
        </w:rPr>
        <w:t xml:space="preserve"> factoren. Hieruit blijkt dat de rechter</w:t>
      </w:r>
      <w:r w:rsidR="003F74F6" w:rsidRPr="008E33DF">
        <w:rPr>
          <w:rFonts w:cs="Helvetica"/>
        </w:rPr>
        <w:t xml:space="preserve"> het </w:t>
      </w:r>
      <w:r w:rsidR="00055AF5" w:rsidRPr="008E33DF">
        <w:rPr>
          <w:rFonts w:cs="Helvetica"/>
        </w:rPr>
        <w:t xml:space="preserve">bij het </w:t>
      </w:r>
      <w:r w:rsidR="00660425" w:rsidRPr="008E33DF">
        <w:rPr>
          <w:rFonts w:cs="Helvetica"/>
        </w:rPr>
        <w:t>toewijzen</w:t>
      </w:r>
      <w:r w:rsidR="00055AF5" w:rsidRPr="008E33DF">
        <w:rPr>
          <w:rFonts w:cs="Helvetica"/>
        </w:rPr>
        <w:t xml:space="preserve"> van </w:t>
      </w:r>
      <w:r w:rsidR="006A2F48" w:rsidRPr="008E33DF">
        <w:rPr>
          <w:rFonts w:cs="Helvetica"/>
        </w:rPr>
        <w:t>het</w:t>
      </w:r>
      <w:r w:rsidR="00055AF5" w:rsidRPr="008E33DF">
        <w:rPr>
          <w:rFonts w:cs="Helvetica"/>
        </w:rPr>
        <w:t xml:space="preserve"> beroep,</w:t>
      </w:r>
      <w:r w:rsidR="00D42EB2" w:rsidRPr="008E33DF">
        <w:rPr>
          <w:rFonts w:cs="Helvetica"/>
        </w:rPr>
        <w:t xml:space="preserve"> belangrijk acht</w:t>
      </w:r>
      <w:r w:rsidR="003F74F6" w:rsidRPr="008E33DF">
        <w:rPr>
          <w:rFonts w:cs="Helvetica"/>
        </w:rPr>
        <w:t>,</w:t>
      </w:r>
      <w:r w:rsidR="00D42EB2" w:rsidRPr="008E33DF">
        <w:rPr>
          <w:rFonts w:cs="Helvetica"/>
        </w:rPr>
        <w:t xml:space="preserve"> dat </w:t>
      </w:r>
      <w:r w:rsidR="00055AF5" w:rsidRPr="008E33DF">
        <w:rPr>
          <w:rFonts w:cs="Helvetica"/>
        </w:rPr>
        <w:t>op</w:t>
      </w:r>
      <w:r w:rsidR="00D42EB2" w:rsidRPr="008E33DF">
        <w:rPr>
          <w:rFonts w:cs="Helvetica"/>
        </w:rPr>
        <w:t xml:space="preserve"> meerdere </w:t>
      </w:r>
      <w:r w:rsidR="0045342B" w:rsidRPr="008E33DF">
        <w:rPr>
          <w:rFonts w:cs="Helvetica"/>
        </w:rPr>
        <w:t>factoren moet worden getoetst.</w:t>
      </w:r>
      <w:r w:rsidR="009D5400" w:rsidRPr="008E33DF">
        <w:rPr>
          <w:rFonts w:cs="Helvetica"/>
        </w:rPr>
        <w:t xml:space="preserve"> </w:t>
      </w:r>
      <w:r w:rsidR="000424AD" w:rsidRPr="008E33DF">
        <w:rPr>
          <w:rFonts w:cs="Helvetica"/>
        </w:rPr>
        <w:t>Daarbij is voorts van belang dat de beoordeling van ieder</w:t>
      </w:r>
      <w:r w:rsidR="005C7B5E" w:rsidRPr="008E33DF">
        <w:rPr>
          <w:rFonts w:cs="Helvetica"/>
        </w:rPr>
        <w:t xml:space="preserve">e factor aanleiding moet geven </w:t>
      </w:r>
      <w:r w:rsidR="000424AD" w:rsidRPr="008E33DF">
        <w:rPr>
          <w:rFonts w:cs="Helvetica"/>
        </w:rPr>
        <w:t>de huurovereenkomst te k</w:t>
      </w:r>
      <w:r w:rsidR="006A2F48" w:rsidRPr="008E33DF">
        <w:rPr>
          <w:rFonts w:cs="Helvetica"/>
        </w:rPr>
        <w:t xml:space="preserve">walificeren </w:t>
      </w:r>
      <w:r w:rsidR="000424AD" w:rsidRPr="008E33DF">
        <w:rPr>
          <w:rFonts w:cs="Helvetica"/>
        </w:rPr>
        <w:t>als een huurovere</w:t>
      </w:r>
      <w:r w:rsidR="005C7B5E" w:rsidRPr="008E33DF">
        <w:rPr>
          <w:rFonts w:cs="Helvetica"/>
        </w:rPr>
        <w:t>enkomst die</w:t>
      </w:r>
      <w:r w:rsidR="000424AD" w:rsidRPr="008E33DF">
        <w:rPr>
          <w:rFonts w:cs="Helvetica"/>
        </w:rPr>
        <w:t xml:space="preserve"> naar zijn aard van korte duur is.</w:t>
      </w:r>
    </w:p>
    <w:p w:rsidR="006A2F48" w:rsidRPr="008E33DF" w:rsidRDefault="006A2F48">
      <w:pPr>
        <w:rPr>
          <w:rFonts w:cs="Helvetica"/>
        </w:rPr>
      </w:pPr>
    </w:p>
    <w:p w:rsidR="00F26900" w:rsidRPr="008E33DF" w:rsidRDefault="004E6C69">
      <w:pPr>
        <w:rPr>
          <w:rFonts w:cs="Helvetica"/>
        </w:rPr>
      </w:pPr>
      <w:r w:rsidRPr="008E33DF">
        <w:rPr>
          <w:rFonts w:cs="Helvetica"/>
        </w:rPr>
        <w:t xml:space="preserve">Als </w:t>
      </w:r>
      <w:r w:rsidR="00510B67" w:rsidRPr="008E33DF">
        <w:rPr>
          <w:rFonts w:cs="Helvetica"/>
        </w:rPr>
        <w:t>er gekeken wordt</w:t>
      </w:r>
      <w:r w:rsidRPr="008E33DF">
        <w:rPr>
          <w:rFonts w:cs="Helvetica"/>
        </w:rPr>
        <w:t xml:space="preserve"> naar de kleuren van </w:t>
      </w:r>
      <w:r w:rsidR="00660425" w:rsidRPr="008E33DF">
        <w:rPr>
          <w:rFonts w:cs="Helvetica"/>
        </w:rPr>
        <w:t>t</w:t>
      </w:r>
      <w:r w:rsidRPr="008E33DF">
        <w:rPr>
          <w:rFonts w:cs="Helvetica"/>
        </w:rPr>
        <w:t>abel 2, is het opmerkelijk dat er geen enkel</w:t>
      </w:r>
      <w:r w:rsidR="00120E06" w:rsidRPr="008E33DF">
        <w:rPr>
          <w:rFonts w:cs="Helvetica"/>
        </w:rPr>
        <w:t>e</w:t>
      </w:r>
      <w:r w:rsidR="00660425" w:rsidRPr="008E33DF">
        <w:rPr>
          <w:rFonts w:cs="Helvetica"/>
        </w:rPr>
        <w:t xml:space="preserve"> keer</w:t>
      </w:r>
      <w:r w:rsidRPr="008E33DF">
        <w:rPr>
          <w:rFonts w:cs="Helvetica"/>
        </w:rPr>
        <w:t xml:space="preserve"> ro</w:t>
      </w:r>
      <w:r w:rsidR="00660425" w:rsidRPr="008E33DF">
        <w:rPr>
          <w:rFonts w:cs="Helvetica"/>
        </w:rPr>
        <w:t>od</w:t>
      </w:r>
      <w:r w:rsidRPr="008E33DF">
        <w:rPr>
          <w:rFonts w:cs="Helvetica"/>
        </w:rPr>
        <w:t xml:space="preserve"> kleur te zien is. </w:t>
      </w:r>
      <w:r w:rsidR="005C7B5E" w:rsidRPr="008E33DF">
        <w:rPr>
          <w:rFonts w:cs="Helvetica"/>
        </w:rPr>
        <w:t>Dit geeft een bevestiging van</w:t>
      </w:r>
      <w:r w:rsidR="00510B67" w:rsidRPr="008E33DF">
        <w:rPr>
          <w:rFonts w:cs="Helvetica"/>
        </w:rPr>
        <w:t xml:space="preserve"> de constatering die in</w:t>
      </w:r>
      <w:r w:rsidR="00660425" w:rsidRPr="008E33DF">
        <w:rPr>
          <w:rFonts w:cs="Helvetica"/>
        </w:rPr>
        <w:t xml:space="preserve"> de vorige paragraaf is gemaakt, namelijk da</w:t>
      </w:r>
      <w:r w:rsidR="00510B67" w:rsidRPr="008E33DF">
        <w:rPr>
          <w:rFonts w:cs="Helvetica"/>
        </w:rPr>
        <w:t xml:space="preserve">t indien de rechter bij de toetsing van </w:t>
      </w:r>
      <w:r w:rsidR="00660425" w:rsidRPr="008E33DF">
        <w:rPr>
          <w:rFonts w:cs="Helvetica"/>
        </w:rPr>
        <w:t>een</w:t>
      </w:r>
      <w:r w:rsidR="00510B67" w:rsidRPr="008E33DF">
        <w:rPr>
          <w:rFonts w:cs="Helvetica"/>
        </w:rPr>
        <w:t xml:space="preserve"> van de </w:t>
      </w:r>
      <w:r w:rsidR="006A2F48" w:rsidRPr="008E33DF">
        <w:rPr>
          <w:rFonts w:cs="Helvetica"/>
        </w:rPr>
        <w:t>beoordelings</w:t>
      </w:r>
      <w:r w:rsidR="00510B67" w:rsidRPr="008E33DF">
        <w:rPr>
          <w:rFonts w:cs="Helvetica"/>
        </w:rPr>
        <w:t xml:space="preserve">factoren aanleiding vindt </w:t>
      </w:r>
      <w:r w:rsidR="00365E05" w:rsidRPr="008E33DF">
        <w:rPr>
          <w:rFonts w:cs="Helvetica"/>
        </w:rPr>
        <w:t>om de huurovereenkomst niet te kenmerk</w:t>
      </w:r>
      <w:r w:rsidR="005C7B5E" w:rsidRPr="008E33DF">
        <w:rPr>
          <w:rFonts w:cs="Helvetica"/>
        </w:rPr>
        <w:t xml:space="preserve">en als een huurovereenkomst die </w:t>
      </w:r>
      <w:r w:rsidR="00120E06" w:rsidRPr="008E33DF">
        <w:rPr>
          <w:rFonts w:cs="Helvetica"/>
        </w:rPr>
        <w:t xml:space="preserve">naar </w:t>
      </w:r>
      <w:r w:rsidR="00365E05" w:rsidRPr="008E33DF">
        <w:rPr>
          <w:rFonts w:cs="Helvetica"/>
        </w:rPr>
        <w:t>zijn aard van korte duur is, het</w:t>
      </w:r>
      <w:r w:rsidR="00120E06" w:rsidRPr="008E33DF">
        <w:rPr>
          <w:rFonts w:cs="Helvetica"/>
        </w:rPr>
        <w:t xml:space="preserve"> beroep op art. 7:232 lid 2 BW </w:t>
      </w:r>
      <w:r w:rsidR="006A2F48" w:rsidRPr="008E33DF">
        <w:rPr>
          <w:rFonts w:cs="Helvetica"/>
        </w:rPr>
        <w:t>wordt afgewezen</w:t>
      </w:r>
      <w:r w:rsidR="00365E05" w:rsidRPr="008E33DF">
        <w:rPr>
          <w:rFonts w:cs="Helvetica"/>
        </w:rPr>
        <w:t>.</w:t>
      </w:r>
    </w:p>
    <w:p w:rsidR="0068281B" w:rsidRPr="008E33DF" w:rsidRDefault="0068281B">
      <w:pPr>
        <w:rPr>
          <w:rFonts w:cs="Helvetica"/>
        </w:rPr>
      </w:pPr>
    </w:p>
    <w:p w:rsidR="00884147" w:rsidRPr="008E33DF" w:rsidRDefault="00365E05">
      <w:pPr>
        <w:rPr>
          <w:rFonts w:cs="Helvetica"/>
        </w:rPr>
      </w:pPr>
      <w:r w:rsidRPr="008E33DF">
        <w:rPr>
          <w:rFonts w:cs="Helvetica"/>
        </w:rPr>
        <w:lastRenderedPageBreak/>
        <w:t>Uit</w:t>
      </w:r>
      <w:r w:rsidR="00660425" w:rsidRPr="008E33DF">
        <w:rPr>
          <w:rFonts w:cs="Helvetica"/>
        </w:rPr>
        <w:t xml:space="preserve"> t</w:t>
      </w:r>
      <w:r w:rsidR="005C7B5E" w:rsidRPr="008E33DF">
        <w:rPr>
          <w:rFonts w:cs="Helvetica"/>
        </w:rPr>
        <w:t>abel 2 valt voorts af</w:t>
      </w:r>
      <w:r w:rsidRPr="008E33DF">
        <w:rPr>
          <w:rFonts w:cs="Helvetica"/>
        </w:rPr>
        <w:t xml:space="preserve"> te lezen dat de rechter </w:t>
      </w:r>
      <w:r w:rsidR="00660425" w:rsidRPr="008E33DF">
        <w:rPr>
          <w:rFonts w:cs="Helvetica"/>
          <w:b/>
        </w:rPr>
        <w:t>veertien</w:t>
      </w:r>
      <w:r w:rsidR="006A2F48" w:rsidRPr="008E33DF">
        <w:rPr>
          <w:rFonts w:cs="Helvetica"/>
        </w:rPr>
        <w:t xml:space="preserve"> keer toetst op de</w:t>
      </w:r>
      <w:r w:rsidR="009D5400" w:rsidRPr="008E33DF">
        <w:rPr>
          <w:rFonts w:cs="Helvetica"/>
        </w:rPr>
        <w:t xml:space="preserve"> </w:t>
      </w:r>
      <w:r w:rsidRPr="008E33DF">
        <w:rPr>
          <w:rFonts w:cs="Helvetica"/>
          <w:b/>
        </w:rPr>
        <w:t>aard van de woning</w:t>
      </w:r>
      <w:r w:rsidRPr="008E33DF">
        <w:rPr>
          <w:rFonts w:cs="Helvetica"/>
        </w:rPr>
        <w:t xml:space="preserve">, </w:t>
      </w:r>
      <w:r w:rsidR="00660425" w:rsidRPr="008E33DF">
        <w:rPr>
          <w:rFonts w:cs="Helvetica"/>
          <w:b/>
        </w:rPr>
        <w:t>negentien</w:t>
      </w:r>
      <w:r w:rsidR="006A2F48" w:rsidRPr="008E33DF">
        <w:rPr>
          <w:rFonts w:cs="Helvetica"/>
        </w:rPr>
        <w:t xml:space="preserve"> keer op de </w:t>
      </w:r>
      <w:r w:rsidRPr="008E33DF">
        <w:rPr>
          <w:rFonts w:cs="Helvetica"/>
          <w:b/>
        </w:rPr>
        <w:t>aard van het gebruik</w:t>
      </w:r>
      <w:r w:rsidRPr="008E33DF">
        <w:rPr>
          <w:rFonts w:cs="Helvetica"/>
        </w:rPr>
        <w:t xml:space="preserve">, </w:t>
      </w:r>
      <w:r w:rsidR="00660425" w:rsidRPr="008E33DF">
        <w:rPr>
          <w:rFonts w:cs="Helvetica"/>
          <w:b/>
        </w:rPr>
        <w:t>achttien</w:t>
      </w:r>
      <w:r w:rsidR="006A2F48" w:rsidRPr="008E33DF">
        <w:rPr>
          <w:rFonts w:cs="Helvetica"/>
        </w:rPr>
        <w:t xml:space="preserve"> keer op de </w:t>
      </w:r>
      <w:r w:rsidRPr="008E33DF">
        <w:rPr>
          <w:rFonts w:cs="Helvetica"/>
          <w:b/>
        </w:rPr>
        <w:t>bedoelingen van partijen</w:t>
      </w:r>
      <w:r w:rsidRPr="008E33DF">
        <w:rPr>
          <w:rFonts w:cs="Helvetica"/>
        </w:rPr>
        <w:t xml:space="preserve"> en </w:t>
      </w:r>
      <w:r w:rsidR="00660425" w:rsidRPr="008E33DF">
        <w:rPr>
          <w:rFonts w:cs="Helvetica"/>
          <w:b/>
        </w:rPr>
        <w:t>vijftien</w:t>
      </w:r>
      <w:r w:rsidRPr="008E33DF">
        <w:rPr>
          <w:rFonts w:cs="Helvetica"/>
        </w:rPr>
        <w:t xml:space="preserve"> keer op </w:t>
      </w:r>
      <w:r w:rsidR="006A2F48" w:rsidRPr="008E33DF">
        <w:rPr>
          <w:rFonts w:cs="Helvetica"/>
        </w:rPr>
        <w:t xml:space="preserve">de </w:t>
      </w:r>
      <w:r w:rsidRPr="008E33DF">
        <w:rPr>
          <w:rFonts w:cs="Helvetica"/>
          <w:b/>
        </w:rPr>
        <w:t>duur van het gebruik</w:t>
      </w:r>
      <w:r w:rsidRPr="008E33DF">
        <w:rPr>
          <w:rFonts w:cs="Helvetica"/>
        </w:rPr>
        <w:t xml:space="preserve">. </w:t>
      </w:r>
      <w:r w:rsidR="00884147" w:rsidRPr="008E33DF">
        <w:rPr>
          <w:rFonts w:cs="Helvetica"/>
        </w:rPr>
        <w:t xml:space="preserve">Opvallend hierbij is dat bij elke uitspraak een toetsing </w:t>
      </w:r>
      <w:r w:rsidR="00660425" w:rsidRPr="008E33DF">
        <w:rPr>
          <w:rFonts w:cs="Helvetica"/>
        </w:rPr>
        <w:t>is g</w:t>
      </w:r>
      <w:r w:rsidR="00884147" w:rsidRPr="008E33DF">
        <w:rPr>
          <w:rFonts w:cs="Helvetica"/>
        </w:rPr>
        <w:t xml:space="preserve">edaan op de </w:t>
      </w:r>
      <w:r w:rsidR="00120E06" w:rsidRPr="008E33DF">
        <w:rPr>
          <w:rFonts w:cs="Helvetica"/>
        </w:rPr>
        <w:t>factor</w:t>
      </w:r>
      <w:r w:rsidR="009D5400" w:rsidRPr="008E33DF">
        <w:rPr>
          <w:rFonts w:cs="Helvetica"/>
        </w:rPr>
        <w:t xml:space="preserve"> </w:t>
      </w:r>
      <w:r w:rsidR="00660425" w:rsidRPr="008E33DF">
        <w:rPr>
          <w:rFonts w:cs="Helvetica"/>
        </w:rPr>
        <w:t>'</w:t>
      </w:r>
      <w:r w:rsidR="00884147" w:rsidRPr="008E33DF">
        <w:rPr>
          <w:rFonts w:cs="Helvetica"/>
        </w:rPr>
        <w:t>aard van het gebruik</w:t>
      </w:r>
      <w:r w:rsidR="00660425" w:rsidRPr="008E33DF">
        <w:rPr>
          <w:rFonts w:cs="Helvetica"/>
        </w:rPr>
        <w:t>'</w:t>
      </w:r>
      <w:r w:rsidR="00884147" w:rsidRPr="008E33DF">
        <w:rPr>
          <w:rFonts w:cs="Helvetica"/>
        </w:rPr>
        <w:t xml:space="preserve">. </w:t>
      </w:r>
      <w:r w:rsidR="00660425" w:rsidRPr="008E33DF">
        <w:rPr>
          <w:rFonts w:cs="Helvetica"/>
        </w:rPr>
        <w:t>In achttien</w:t>
      </w:r>
      <w:r w:rsidR="009B11BE" w:rsidRPr="008E33DF">
        <w:rPr>
          <w:rFonts w:cs="Helvetica"/>
        </w:rPr>
        <w:t xml:space="preserve"> van de </w:t>
      </w:r>
      <w:r w:rsidR="00660425" w:rsidRPr="008E33DF">
        <w:rPr>
          <w:rFonts w:cs="Helvetica"/>
        </w:rPr>
        <w:t>negentien</w:t>
      </w:r>
      <w:r w:rsidR="009B11BE" w:rsidRPr="008E33DF">
        <w:rPr>
          <w:rFonts w:cs="Helvetica"/>
        </w:rPr>
        <w:t xml:space="preserve"> uitspraken doet de rechter een toetsing op</w:t>
      </w:r>
      <w:r w:rsidR="00800F27" w:rsidRPr="008E33DF">
        <w:rPr>
          <w:rFonts w:cs="Helvetica"/>
        </w:rPr>
        <w:t xml:space="preserve"> de bedoelingen van partijen</w:t>
      </w:r>
      <w:r w:rsidR="009B11BE" w:rsidRPr="008E33DF">
        <w:rPr>
          <w:rFonts w:cs="Helvetica"/>
        </w:rPr>
        <w:t>.</w:t>
      </w:r>
      <w:r w:rsidR="00800F27" w:rsidRPr="008E33DF">
        <w:rPr>
          <w:rFonts w:cs="Helvetica"/>
        </w:rPr>
        <w:t xml:space="preserve"> De en</w:t>
      </w:r>
      <w:r w:rsidR="00660425" w:rsidRPr="008E33DF">
        <w:rPr>
          <w:rFonts w:cs="Helvetica"/>
        </w:rPr>
        <w:t>ig</w:t>
      </w:r>
      <w:r w:rsidR="00800F27" w:rsidRPr="008E33DF">
        <w:rPr>
          <w:rFonts w:cs="Helvetica"/>
        </w:rPr>
        <w:t xml:space="preserve">e </w:t>
      </w:r>
      <w:r w:rsidR="009B11BE" w:rsidRPr="008E33DF">
        <w:rPr>
          <w:rFonts w:cs="Helvetica"/>
        </w:rPr>
        <w:t>uitspraak</w:t>
      </w:r>
      <w:r w:rsidR="00800F27" w:rsidRPr="008E33DF">
        <w:rPr>
          <w:rFonts w:cs="Helvetica"/>
        </w:rPr>
        <w:t xml:space="preserve"> waarbij de rechter geen toetsing op de bedo</w:t>
      </w:r>
      <w:r w:rsidR="005C7B5E" w:rsidRPr="008E33DF">
        <w:rPr>
          <w:rFonts w:cs="Helvetica"/>
        </w:rPr>
        <w:t>elingen van partijen doet, is tevens</w:t>
      </w:r>
      <w:r w:rsidR="00800F27" w:rsidRPr="008E33DF">
        <w:rPr>
          <w:rFonts w:cs="Helvetica"/>
        </w:rPr>
        <w:t xml:space="preserve"> d</w:t>
      </w:r>
      <w:r w:rsidR="005C7B5E" w:rsidRPr="008E33DF">
        <w:rPr>
          <w:rFonts w:cs="Helvetica"/>
        </w:rPr>
        <w:t>e enige zaak waarbij alleen</w:t>
      </w:r>
      <w:r w:rsidR="00800F27" w:rsidRPr="008E33DF">
        <w:rPr>
          <w:rFonts w:cs="Helvetica"/>
        </w:rPr>
        <w:t xml:space="preserve"> een toetsing wordt gedaan op </w:t>
      </w:r>
      <w:r w:rsidR="009B11BE" w:rsidRPr="008E33DF">
        <w:rPr>
          <w:rFonts w:cs="Helvetica"/>
        </w:rPr>
        <w:t xml:space="preserve">enkel </w:t>
      </w:r>
      <w:r w:rsidR="00800F27" w:rsidRPr="008E33DF">
        <w:rPr>
          <w:rFonts w:cs="Helvetica"/>
        </w:rPr>
        <w:t>twee beoordelingsfactoren. In deze specifieke zaak is dat ook niet vreemd. Ter beoordeling is namelijk een recreatiewoning waarin permanente bewoning volgens gemeente Ermelo niet toegestaan i</w:t>
      </w:r>
      <w:r w:rsidR="005C7B5E" w:rsidRPr="008E33DF">
        <w:rPr>
          <w:rFonts w:cs="Helvetica"/>
        </w:rPr>
        <w:t xml:space="preserve">s. De rechtbank verwijst in de </w:t>
      </w:r>
      <w:r w:rsidR="00800F27" w:rsidRPr="008E33DF">
        <w:rPr>
          <w:rFonts w:cs="Helvetica"/>
        </w:rPr>
        <w:t>onderhavige</w:t>
      </w:r>
      <w:r w:rsidR="005C7B5E" w:rsidRPr="008E33DF">
        <w:rPr>
          <w:rFonts w:cs="Helvetica"/>
        </w:rPr>
        <w:t xml:space="preserve"> uitspraak</w:t>
      </w:r>
      <w:r w:rsidR="00800F27" w:rsidRPr="008E33DF">
        <w:rPr>
          <w:rFonts w:cs="Helvetica"/>
        </w:rPr>
        <w:t xml:space="preserve"> naar de Memorie van Toelichting (Kamerstukken II 1996-1997, 25090, nr. 3)</w:t>
      </w:r>
      <w:r w:rsidR="000D3353" w:rsidRPr="008E33DF">
        <w:rPr>
          <w:rFonts w:cs="Helvetica"/>
        </w:rPr>
        <w:t xml:space="preserve"> waarin het verhuren van een vakantiehuisje expliciet wordt genoemd als een voorbeeld </w:t>
      </w:r>
      <w:r w:rsidR="00660425" w:rsidRPr="008E33DF">
        <w:rPr>
          <w:rFonts w:cs="Helvetica"/>
        </w:rPr>
        <w:t>dat</w:t>
      </w:r>
      <w:r w:rsidR="000D3353" w:rsidRPr="008E33DF">
        <w:rPr>
          <w:rFonts w:cs="Helvetica"/>
        </w:rPr>
        <w:t xml:space="preserve"> uitgesloten dient te worden.</w:t>
      </w:r>
      <w:r w:rsidR="000D3353" w:rsidRPr="008E33DF">
        <w:rPr>
          <w:rStyle w:val="Voetnootmarkering"/>
          <w:rFonts w:cs="Helvetica"/>
        </w:rPr>
        <w:footnoteReference w:id="25"/>
      </w:r>
      <w:r w:rsidR="000D3353" w:rsidRPr="008E33DF">
        <w:rPr>
          <w:rFonts w:cs="Helvetica"/>
        </w:rPr>
        <w:t xml:space="preserve"> Uit </w:t>
      </w:r>
      <w:r w:rsidR="005C7B5E" w:rsidRPr="008E33DF">
        <w:rPr>
          <w:rFonts w:cs="Helvetica"/>
        </w:rPr>
        <w:t xml:space="preserve">het </w:t>
      </w:r>
      <w:r w:rsidR="000D3353" w:rsidRPr="008E33DF">
        <w:rPr>
          <w:rFonts w:cs="Helvetica"/>
        </w:rPr>
        <w:t>bovenstaande blijkt</w:t>
      </w:r>
      <w:r w:rsidR="00660425" w:rsidRPr="008E33DF">
        <w:rPr>
          <w:rFonts w:cs="Helvetica"/>
        </w:rPr>
        <w:t>,</w:t>
      </w:r>
      <w:r w:rsidR="000D3353" w:rsidRPr="008E33DF">
        <w:rPr>
          <w:rFonts w:cs="Helvetica"/>
        </w:rPr>
        <w:t xml:space="preserve"> dat de rechter het belangrijk vind</w:t>
      </w:r>
      <w:r w:rsidR="005C7B5E" w:rsidRPr="008E33DF">
        <w:rPr>
          <w:rFonts w:cs="Helvetica"/>
        </w:rPr>
        <w:t>t</w:t>
      </w:r>
      <w:r w:rsidR="000D3353" w:rsidRPr="008E33DF">
        <w:rPr>
          <w:rFonts w:cs="Helvetica"/>
        </w:rPr>
        <w:t xml:space="preserve"> een toetsing te doen op de aard van het gehuurde en de bedoelingen van </w:t>
      </w:r>
      <w:r w:rsidR="00B83C1F" w:rsidRPr="008E33DF">
        <w:rPr>
          <w:rFonts w:cs="Helvetica"/>
        </w:rPr>
        <w:t>partijen bij het toewijzen van het</w:t>
      </w:r>
      <w:r w:rsidR="000D3353" w:rsidRPr="008E33DF">
        <w:rPr>
          <w:rFonts w:cs="Helvetica"/>
        </w:rPr>
        <w:t xml:space="preserve"> beroep op de uitzonderingsgrond.</w:t>
      </w:r>
    </w:p>
    <w:p w:rsidR="00001696" w:rsidRPr="008E33DF" w:rsidRDefault="00001696">
      <w:pPr>
        <w:rPr>
          <w:rFonts w:cs="Helvetica"/>
        </w:rPr>
      </w:pPr>
    </w:p>
    <w:p w:rsidR="00365E05" w:rsidRPr="008E33DF" w:rsidRDefault="00B83C1F">
      <w:pPr>
        <w:rPr>
          <w:rFonts w:cs="Helvetica"/>
        </w:rPr>
      </w:pPr>
      <w:r w:rsidRPr="008E33DF">
        <w:rPr>
          <w:rFonts w:cs="Helvetica"/>
        </w:rPr>
        <w:t>Wat verder opmerkelijk is aan</w:t>
      </w:r>
      <w:r w:rsidR="00660425" w:rsidRPr="008E33DF">
        <w:rPr>
          <w:rFonts w:cs="Helvetica"/>
        </w:rPr>
        <w:t xml:space="preserve"> t</w:t>
      </w:r>
      <w:r w:rsidR="00922C4E" w:rsidRPr="008E33DF">
        <w:rPr>
          <w:rFonts w:cs="Helvetica"/>
        </w:rPr>
        <w:t>abel</w:t>
      </w:r>
      <w:r w:rsidR="00001696" w:rsidRPr="008E33DF">
        <w:rPr>
          <w:rFonts w:cs="Helvetica"/>
        </w:rPr>
        <w:t xml:space="preserve"> 2</w:t>
      </w:r>
      <w:r w:rsidR="00660425" w:rsidRPr="008E33DF">
        <w:rPr>
          <w:rFonts w:cs="Helvetica"/>
        </w:rPr>
        <w:t>,</w:t>
      </w:r>
      <w:r w:rsidR="00001696" w:rsidRPr="008E33DF">
        <w:rPr>
          <w:rFonts w:cs="Helvetica"/>
        </w:rPr>
        <w:t xml:space="preserve"> zijn de oranje hokjes van de</w:t>
      </w:r>
      <w:r w:rsidR="00922C4E" w:rsidRPr="008E33DF">
        <w:rPr>
          <w:rFonts w:cs="Helvetica"/>
        </w:rPr>
        <w:t xml:space="preserve"> duur van het</w:t>
      </w:r>
      <w:r w:rsidR="00853FB2" w:rsidRPr="008E33DF">
        <w:rPr>
          <w:rFonts w:cs="Helvetica"/>
        </w:rPr>
        <w:t xml:space="preserve"> gebruik. Dit betekent dat in</w:t>
      </w:r>
      <w:r w:rsidR="00660425" w:rsidRPr="008E33DF">
        <w:rPr>
          <w:rFonts w:cs="Helvetica"/>
        </w:rPr>
        <w:t xml:space="preserve"> acht</w:t>
      </w:r>
      <w:r w:rsidR="00922C4E" w:rsidRPr="008E33DF">
        <w:rPr>
          <w:rFonts w:cs="Helvetica"/>
        </w:rPr>
        <w:t xml:space="preserve"> van </w:t>
      </w:r>
      <w:r w:rsidR="00660425" w:rsidRPr="008E33DF">
        <w:rPr>
          <w:rFonts w:cs="Helvetica"/>
        </w:rPr>
        <w:t>vijftien</w:t>
      </w:r>
      <w:r w:rsidR="00274F27" w:rsidRPr="008E33DF">
        <w:rPr>
          <w:rFonts w:cs="Helvetica"/>
        </w:rPr>
        <w:t xml:space="preserve"> </w:t>
      </w:r>
      <w:r w:rsidR="009B11BE" w:rsidRPr="008E33DF">
        <w:rPr>
          <w:rFonts w:cs="Helvetica"/>
        </w:rPr>
        <w:t>uitspraken</w:t>
      </w:r>
      <w:r w:rsidR="00660425" w:rsidRPr="008E33DF">
        <w:rPr>
          <w:rFonts w:cs="Helvetica"/>
        </w:rPr>
        <w:t>,</w:t>
      </w:r>
      <w:r w:rsidR="00922C4E" w:rsidRPr="008E33DF">
        <w:rPr>
          <w:rFonts w:cs="Helvetica"/>
        </w:rPr>
        <w:t xml:space="preserve"> de rechter slechts een toezegging doet dat </w:t>
      </w:r>
      <w:r w:rsidR="00C71DF6" w:rsidRPr="008E33DF">
        <w:rPr>
          <w:rFonts w:cs="Helvetica"/>
        </w:rPr>
        <w:t>het feit of de</w:t>
      </w:r>
      <w:r w:rsidR="00922C4E" w:rsidRPr="008E33DF">
        <w:rPr>
          <w:rFonts w:cs="Helvetica"/>
        </w:rPr>
        <w:t xml:space="preserve"> omstandigheid in dat geval niet af doet aan de beoordeling. Als deze </w:t>
      </w:r>
      <w:r w:rsidR="00660425" w:rsidRPr="008E33DF">
        <w:rPr>
          <w:rFonts w:cs="Helvetica"/>
        </w:rPr>
        <w:t>acht</w:t>
      </w:r>
      <w:r w:rsidR="00922C4E" w:rsidRPr="008E33DF">
        <w:rPr>
          <w:rFonts w:cs="Helvetica"/>
        </w:rPr>
        <w:t xml:space="preserve"> gevallen buiten </w:t>
      </w:r>
      <w:r w:rsidRPr="008E33DF">
        <w:rPr>
          <w:rFonts w:cs="Helvetica"/>
        </w:rPr>
        <w:t xml:space="preserve">beschouwing </w:t>
      </w:r>
      <w:r w:rsidR="00660425" w:rsidRPr="008E33DF">
        <w:rPr>
          <w:rFonts w:cs="Helvetica"/>
        </w:rPr>
        <w:t>worden ge</w:t>
      </w:r>
      <w:r w:rsidR="00922C4E" w:rsidRPr="008E33DF">
        <w:rPr>
          <w:rFonts w:cs="Helvetica"/>
        </w:rPr>
        <w:t xml:space="preserve">laten dan blijven er slechts </w:t>
      </w:r>
      <w:r w:rsidR="00660425" w:rsidRPr="008E33DF">
        <w:rPr>
          <w:rFonts w:cs="Helvetica"/>
        </w:rPr>
        <w:t>zeven</w:t>
      </w:r>
      <w:r w:rsidR="00922C4E" w:rsidRPr="008E33DF">
        <w:rPr>
          <w:rFonts w:cs="Helvetica"/>
        </w:rPr>
        <w:t xml:space="preserve"> uitspraken over waarin de rechter een beoordeling doet op de duur van het gebruik. </w:t>
      </w:r>
    </w:p>
    <w:p w:rsidR="00D42EB2" w:rsidRPr="008E33DF" w:rsidRDefault="00D42EB2">
      <w:pPr>
        <w:rPr>
          <w:rFonts w:cs="Helvetica"/>
        </w:rPr>
      </w:pPr>
    </w:p>
    <w:p w:rsidR="00F26900" w:rsidRPr="008E33DF" w:rsidRDefault="00C71DF6" w:rsidP="005E7558">
      <w:pPr>
        <w:pStyle w:val="Kop2"/>
      </w:pPr>
      <w:bookmarkStart w:id="36" w:name="_Toc454253665"/>
      <w:r w:rsidRPr="008E33DF">
        <w:t xml:space="preserve">4.4 </w:t>
      </w:r>
      <w:r w:rsidR="009B11BE" w:rsidRPr="008E33DF">
        <w:t>Conclusie</w:t>
      </w:r>
      <w:bookmarkEnd w:id="36"/>
    </w:p>
    <w:p w:rsidR="009B11BE" w:rsidRPr="008E33DF" w:rsidRDefault="00A362DD">
      <w:pPr>
        <w:rPr>
          <w:rFonts w:cs="Helvetica"/>
        </w:rPr>
      </w:pPr>
      <w:r w:rsidRPr="008E33DF">
        <w:rPr>
          <w:rFonts w:cs="Helvetica"/>
        </w:rPr>
        <w:t>Uit</w:t>
      </w:r>
      <w:r w:rsidR="009B11BE" w:rsidRPr="008E33DF">
        <w:rPr>
          <w:rFonts w:cs="Helvetica"/>
        </w:rPr>
        <w:t xml:space="preserve"> dit hoofdstuk </w:t>
      </w:r>
      <w:r w:rsidRPr="008E33DF">
        <w:rPr>
          <w:rFonts w:cs="Helvetica"/>
        </w:rPr>
        <w:t>is gebleken</w:t>
      </w:r>
      <w:r w:rsidR="009B11BE" w:rsidRPr="008E33DF">
        <w:rPr>
          <w:rFonts w:cs="Helvetica"/>
        </w:rPr>
        <w:t xml:space="preserve"> dat de vaste </w:t>
      </w:r>
      <w:r w:rsidR="00AA670A" w:rsidRPr="008E33DF">
        <w:rPr>
          <w:rFonts w:cs="Helvetica"/>
        </w:rPr>
        <w:t>rechtspraak</w:t>
      </w:r>
      <w:r w:rsidR="009B11BE" w:rsidRPr="008E33DF">
        <w:rPr>
          <w:rFonts w:cs="Helvetica"/>
        </w:rPr>
        <w:t xml:space="preserve"> wordt gevolgd door de lagere instanties. </w:t>
      </w:r>
      <w:r w:rsidRPr="008E33DF">
        <w:rPr>
          <w:rFonts w:cs="Helvetica"/>
        </w:rPr>
        <w:t xml:space="preserve">De Hoge Raad </w:t>
      </w:r>
      <w:r w:rsidR="00853FB2" w:rsidRPr="008E33DF">
        <w:rPr>
          <w:rFonts w:cs="Helvetica"/>
        </w:rPr>
        <w:t>heeft in de uitspraak 8 januari 1999</w:t>
      </w:r>
      <w:r w:rsidRPr="008E33DF">
        <w:rPr>
          <w:rFonts w:cs="Helvetica"/>
        </w:rPr>
        <w:t xml:space="preserve"> gezegd dat bij de beantwoording op de vraag of er sprake</w:t>
      </w:r>
      <w:r w:rsidR="00B83C1F" w:rsidRPr="008E33DF">
        <w:rPr>
          <w:rFonts w:cs="Helvetica"/>
        </w:rPr>
        <w:t xml:space="preserve"> is van een huurovereenkomst die</w:t>
      </w:r>
      <w:r w:rsidRPr="008E33DF">
        <w:rPr>
          <w:rFonts w:cs="Helvetica"/>
        </w:rPr>
        <w:t xml:space="preserve"> naar zijn aard van korte duur is, beoordeeld moet worden op de volgende vier </w:t>
      </w:r>
      <w:r w:rsidR="00001696" w:rsidRPr="008E33DF">
        <w:rPr>
          <w:rFonts w:cs="Helvetica"/>
        </w:rPr>
        <w:t>beoordelings</w:t>
      </w:r>
      <w:r w:rsidRPr="008E33DF">
        <w:rPr>
          <w:rFonts w:cs="Helvetica"/>
        </w:rPr>
        <w:t>factoren: aard van de woning, aard van het gebruik, bedoelingen van de partijen en de duur</w:t>
      </w:r>
      <w:r w:rsidR="00B83C1F" w:rsidRPr="008E33DF">
        <w:rPr>
          <w:rFonts w:cs="Helvetica"/>
        </w:rPr>
        <w:t xml:space="preserve"> van</w:t>
      </w:r>
      <w:r w:rsidRPr="008E33DF">
        <w:rPr>
          <w:rFonts w:cs="Helvetica"/>
        </w:rPr>
        <w:t xml:space="preserve"> het gebruik</w:t>
      </w:r>
      <w:r w:rsidR="008E33DF">
        <w:rPr>
          <w:rFonts w:cs="Helvetica"/>
        </w:rPr>
        <w:t xml:space="preserve"> </w:t>
      </w:r>
      <w:r w:rsidRPr="008E33DF">
        <w:rPr>
          <w:rFonts w:cs="Helvetica"/>
        </w:rPr>
        <w:t xml:space="preserve">(zie paragraaf 3.2.1). </w:t>
      </w:r>
      <w:r w:rsidR="00DF6BC1" w:rsidRPr="008E33DF">
        <w:rPr>
          <w:rFonts w:cs="Helvetica"/>
        </w:rPr>
        <w:t>In alle veertig uitspraken die zijn geanalyseerd</w:t>
      </w:r>
      <w:r w:rsidR="00660425" w:rsidRPr="008E33DF">
        <w:rPr>
          <w:rFonts w:cs="Helvetica"/>
        </w:rPr>
        <w:t>,</w:t>
      </w:r>
      <w:r w:rsidR="00DF6BC1" w:rsidRPr="008E33DF">
        <w:rPr>
          <w:rFonts w:cs="Helvetica"/>
        </w:rPr>
        <w:t xml:space="preserve"> is de rechter tot een oordeel gekomen door</w:t>
      </w:r>
      <w:r w:rsidR="00B83C1F" w:rsidRPr="008E33DF">
        <w:rPr>
          <w:rFonts w:cs="Helvetica"/>
        </w:rPr>
        <w:t xml:space="preserve"> aan</w:t>
      </w:r>
      <w:r w:rsidR="00853FB2" w:rsidRPr="008E33DF">
        <w:rPr>
          <w:rFonts w:cs="Helvetica"/>
        </w:rPr>
        <w:t xml:space="preserve"> een of meer van</w:t>
      </w:r>
      <w:r w:rsidR="00B83C1F" w:rsidRPr="008E33DF">
        <w:rPr>
          <w:rFonts w:cs="Helvetica"/>
        </w:rPr>
        <w:t xml:space="preserve"> die vier factoren te toetsen</w:t>
      </w:r>
      <w:r w:rsidR="00853FB2" w:rsidRPr="008E33DF">
        <w:rPr>
          <w:rFonts w:cs="Helvetica"/>
        </w:rPr>
        <w:t xml:space="preserve">. Slechts in twee uitspraken heeft </w:t>
      </w:r>
      <w:r w:rsidR="00DF6BC1" w:rsidRPr="008E33DF">
        <w:rPr>
          <w:rFonts w:cs="Helvetica"/>
        </w:rPr>
        <w:t>de rechter</w:t>
      </w:r>
      <w:r w:rsidR="00AD1275" w:rsidRPr="008E33DF">
        <w:rPr>
          <w:rFonts w:cs="Helvetica"/>
        </w:rPr>
        <w:t xml:space="preserve"> bij</w:t>
      </w:r>
      <w:r w:rsidR="00DF6BC1" w:rsidRPr="008E33DF">
        <w:rPr>
          <w:rFonts w:cs="Helvetica"/>
        </w:rPr>
        <w:t xml:space="preserve"> zijn </w:t>
      </w:r>
      <w:r w:rsidR="00853FB2" w:rsidRPr="008E33DF">
        <w:rPr>
          <w:rFonts w:cs="Helvetica"/>
        </w:rPr>
        <w:t>beslissing</w:t>
      </w:r>
      <w:r w:rsidR="00DF6BC1" w:rsidRPr="008E33DF">
        <w:rPr>
          <w:rFonts w:cs="Helvetica"/>
        </w:rPr>
        <w:t xml:space="preserve"> op een ander</w:t>
      </w:r>
      <w:r w:rsidR="00660425" w:rsidRPr="008E33DF">
        <w:rPr>
          <w:rFonts w:cs="Helvetica"/>
        </w:rPr>
        <w:t>e</w:t>
      </w:r>
      <w:r w:rsidR="00DF6BC1" w:rsidRPr="008E33DF">
        <w:rPr>
          <w:rFonts w:cs="Helvetica"/>
        </w:rPr>
        <w:t xml:space="preserve"> omstandigheid</w:t>
      </w:r>
      <w:r w:rsidR="00853FB2" w:rsidRPr="008E33DF">
        <w:rPr>
          <w:rFonts w:cs="Helvetica"/>
        </w:rPr>
        <w:t xml:space="preserve"> gebaseerd</w:t>
      </w:r>
      <w:r w:rsidR="00DF6BC1" w:rsidRPr="008E33DF">
        <w:rPr>
          <w:rFonts w:cs="Helvetica"/>
        </w:rPr>
        <w:t>.</w:t>
      </w:r>
      <w:r w:rsidR="00274F27" w:rsidRPr="008E33DF">
        <w:rPr>
          <w:rFonts w:cs="Helvetica"/>
        </w:rPr>
        <w:t xml:space="preserve"> </w:t>
      </w:r>
      <w:r w:rsidR="00DF6BC1" w:rsidRPr="008E33DF">
        <w:rPr>
          <w:rFonts w:cs="Helvetica"/>
        </w:rPr>
        <w:t>In beide gevallen verwerpt de rechter het beroep namelijk op de grond</w:t>
      </w:r>
      <w:r w:rsidR="00660425" w:rsidRPr="008E33DF">
        <w:rPr>
          <w:rFonts w:cs="Helvetica"/>
        </w:rPr>
        <w:t>,</w:t>
      </w:r>
      <w:r w:rsidR="00DF6BC1" w:rsidRPr="008E33DF">
        <w:rPr>
          <w:rFonts w:cs="Helvetica"/>
        </w:rPr>
        <w:t xml:space="preserve"> dat de eiser onvoldoende aannemelijk heeft gemaakt dat er sprak</w:t>
      </w:r>
      <w:r w:rsidR="00B83C1F" w:rsidRPr="008E33DF">
        <w:rPr>
          <w:rFonts w:cs="Helvetica"/>
        </w:rPr>
        <w:t>e is van een huurovereenkomst die</w:t>
      </w:r>
      <w:r w:rsidR="00DF6BC1" w:rsidRPr="008E33DF">
        <w:rPr>
          <w:rFonts w:cs="Helvetica"/>
        </w:rPr>
        <w:t xml:space="preserve"> naar zijn aard van korte duur is. </w:t>
      </w:r>
      <w:r w:rsidR="00282B3F" w:rsidRPr="008E33DF">
        <w:rPr>
          <w:rFonts w:cs="Helvetica"/>
        </w:rPr>
        <w:t>Er wordt niet in alle uitspraken getoetst op alle vier</w:t>
      </w:r>
      <w:r w:rsidR="00660425" w:rsidRPr="008E33DF">
        <w:rPr>
          <w:rFonts w:cs="Helvetica"/>
        </w:rPr>
        <w:t xml:space="preserve"> de</w:t>
      </w:r>
      <w:r w:rsidR="00274F27" w:rsidRPr="008E33DF">
        <w:rPr>
          <w:rFonts w:cs="Helvetica"/>
        </w:rPr>
        <w:t xml:space="preserve"> </w:t>
      </w:r>
      <w:r w:rsidR="00001696" w:rsidRPr="008E33DF">
        <w:rPr>
          <w:rFonts w:cs="Helvetica"/>
        </w:rPr>
        <w:t>beoordelings</w:t>
      </w:r>
      <w:r w:rsidR="00282B3F" w:rsidRPr="008E33DF">
        <w:rPr>
          <w:rFonts w:cs="Helvetica"/>
        </w:rPr>
        <w:t>factoren. Bij de uitspraken waarin het beroep op art. 7:232  lid 2</w:t>
      </w:r>
      <w:r w:rsidR="00001696" w:rsidRPr="008E33DF">
        <w:rPr>
          <w:rFonts w:cs="Helvetica"/>
        </w:rPr>
        <w:t xml:space="preserve"> BW</w:t>
      </w:r>
      <w:r w:rsidR="00282B3F" w:rsidRPr="008E33DF">
        <w:rPr>
          <w:rFonts w:cs="Helvetica"/>
        </w:rPr>
        <w:t xml:space="preserve"> wordt</w:t>
      </w:r>
      <w:r w:rsidR="00660425" w:rsidRPr="008E33DF">
        <w:rPr>
          <w:rFonts w:cs="Helvetica"/>
        </w:rPr>
        <w:t xml:space="preserve"> afgewezen</w:t>
      </w:r>
      <w:r w:rsidR="00CD13D9" w:rsidRPr="008E33DF">
        <w:rPr>
          <w:rFonts w:cs="Helvetica"/>
        </w:rPr>
        <w:t xml:space="preserve">, is gebleken dat de rechter </w:t>
      </w:r>
      <w:r w:rsidR="00E17E44" w:rsidRPr="008E33DF">
        <w:rPr>
          <w:rFonts w:cs="Helvetica"/>
        </w:rPr>
        <w:t xml:space="preserve">bij </w:t>
      </w:r>
      <w:r w:rsidR="00660425" w:rsidRPr="008E33DF">
        <w:rPr>
          <w:rFonts w:cs="Helvetica"/>
        </w:rPr>
        <w:t>twaalf</w:t>
      </w:r>
      <w:r w:rsidR="00E17E44" w:rsidRPr="008E33DF">
        <w:rPr>
          <w:rFonts w:cs="Helvetica"/>
        </w:rPr>
        <w:t xml:space="preserve"> van de 21 uitspraken slechts toetst op </w:t>
      </w:r>
      <w:r w:rsidR="00660425" w:rsidRPr="008E33DF">
        <w:rPr>
          <w:rFonts w:cs="Helvetica"/>
        </w:rPr>
        <w:t>een</w:t>
      </w:r>
      <w:r w:rsidR="00E17E44" w:rsidRPr="008E33DF">
        <w:rPr>
          <w:rFonts w:cs="Helvetica"/>
        </w:rPr>
        <w:t xml:space="preserve"> of twee factoren</w:t>
      </w:r>
      <w:r w:rsidR="00D41118" w:rsidRPr="008E33DF">
        <w:rPr>
          <w:rFonts w:cs="Helvetica"/>
        </w:rPr>
        <w:t xml:space="preserve"> en bij slechts </w:t>
      </w:r>
      <w:r w:rsidR="00660425" w:rsidRPr="008E33DF">
        <w:rPr>
          <w:rFonts w:cs="Helvetica"/>
        </w:rPr>
        <w:t>vier</w:t>
      </w:r>
      <w:r w:rsidR="00D41118" w:rsidRPr="008E33DF">
        <w:rPr>
          <w:rFonts w:cs="Helvetica"/>
        </w:rPr>
        <w:t xml:space="preserve"> van de 21 uitspraken toetst op alle vier </w:t>
      </w:r>
      <w:r w:rsidR="00C02F89" w:rsidRPr="008E33DF">
        <w:rPr>
          <w:rFonts w:cs="Helvetica"/>
        </w:rPr>
        <w:t xml:space="preserve">de </w:t>
      </w:r>
      <w:r w:rsidR="00D41118" w:rsidRPr="008E33DF">
        <w:rPr>
          <w:rFonts w:cs="Helvetica"/>
        </w:rPr>
        <w:t>factoren</w:t>
      </w:r>
      <w:r w:rsidR="00E17E44" w:rsidRPr="008E33DF">
        <w:rPr>
          <w:rFonts w:cs="Helvetica"/>
        </w:rPr>
        <w:t>. Daarentegen wordt bij de uitsprak</w:t>
      </w:r>
      <w:r w:rsidR="00001696" w:rsidRPr="008E33DF">
        <w:rPr>
          <w:rFonts w:cs="Helvetica"/>
        </w:rPr>
        <w:t>en waarin het beroep wordt toegewezen</w:t>
      </w:r>
      <w:r w:rsidR="00D41118" w:rsidRPr="008E33DF">
        <w:rPr>
          <w:rFonts w:cs="Helvetica"/>
        </w:rPr>
        <w:t xml:space="preserve">, slechts in </w:t>
      </w:r>
      <w:r w:rsidR="00C02F89" w:rsidRPr="008E33DF">
        <w:rPr>
          <w:rFonts w:cs="Helvetica"/>
        </w:rPr>
        <w:t xml:space="preserve">een </w:t>
      </w:r>
      <w:r w:rsidR="00D41118" w:rsidRPr="008E33DF">
        <w:rPr>
          <w:rFonts w:cs="Helvetica"/>
        </w:rPr>
        <w:t xml:space="preserve">uitspraak getoetst op alleen één factor en bij </w:t>
      </w:r>
      <w:r w:rsidR="00C02F89" w:rsidRPr="008E33DF">
        <w:rPr>
          <w:rFonts w:cs="Helvetica"/>
        </w:rPr>
        <w:t>elf</w:t>
      </w:r>
      <w:r w:rsidR="00D41118" w:rsidRPr="008E33DF">
        <w:rPr>
          <w:rFonts w:cs="Helvetica"/>
        </w:rPr>
        <w:t xml:space="preserve"> van de </w:t>
      </w:r>
      <w:r w:rsidR="00C02F89" w:rsidRPr="008E33DF">
        <w:rPr>
          <w:rFonts w:cs="Helvetica"/>
        </w:rPr>
        <w:t>negentien</w:t>
      </w:r>
      <w:r w:rsidR="00D41118" w:rsidRPr="008E33DF">
        <w:rPr>
          <w:rFonts w:cs="Helvetica"/>
        </w:rPr>
        <w:t xml:space="preserve"> uitspraken</w:t>
      </w:r>
      <w:r w:rsidR="00C02F89" w:rsidRPr="008E33DF">
        <w:rPr>
          <w:rFonts w:cs="Helvetica"/>
        </w:rPr>
        <w:t xml:space="preserve"> wordt</w:t>
      </w:r>
      <w:r w:rsidR="00D41118" w:rsidRPr="008E33DF">
        <w:rPr>
          <w:rFonts w:cs="Helvetica"/>
        </w:rPr>
        <w:t xml:space="preserve"> getoetst op alle vier</w:t>
      </w:r>
      <w:r w:rsidR="00C02F89" w:rsidRPr="008E33DF">
        <w:rPr>
          <w:rFonts w:cs="Helvetica"/>
        </w:rPr>
        <w:t xml:space="preserve"> de</w:t>
      </w:r>
      <w:r w:rsidR="00D41118" w:rsidRPr="008E33DF">
        <w:rPr>
          <w:rFonts w:cs="Helvetica"/>
        </w:rPr>
        <w:t xml:space="preserve"> factoren. Dit is echter niet vreemd. Gebleken is namelijk dat</w:t>
      </w:r>
      <w:r w:rsidR="00001696" w:rsidRPr="008E33DF">
        <w:rPr>
          <w:rFonts w:cs="Helvetica"/>
        </w:rPr>
        <w:t xml:space="preserve"> de rechter het beroep op de uitzonderingsbepaling zal </w:t>
      </w:r>
      <w:r w:rsidR="00EE5913" w:rsidRPr="008E33DF">
        <w:rPr>
          <w:rFonts w:cs="Helvetica"/>
        </w:rPr>
        <w:t xml:space="preserve">afwijzen, indien op grond van de toetsing op slechts </w:t>
      </w:r>
      <w:r w:rsidR="00C02F89" w:rsidRPr="008E33DF">
        <w:rPr>
          <w:rFonts w:cs="Helvetica"/>
        </w:rPr>
        <w:t>ee</w:t>
      </w:r>
      <w:r w:rsidR="00EE5913" w:rsidRPr="008E33DF">
        <w:rPr>
          <w:rFonts w:cs="Helvetica"/>
        </w:rPr>
        <w:t xml:space="preserve">n van de beoordelingsfactoren blijkt dat de huurovereenkomst niet naar zijn aard van korte duur is. </w:t>
      </w:r>
      <w:r w:rsidR="00D41118" w:rsidRPr="008E33DF">
        <w:rPr>
          <w:rFonts w:cs="Helvetica"/>
        </w:rPr>
        <w:t xml:space="preserve">Het is dan ook begrijpelijk dat bij de afgewezen uitspraken op minder factoren wordt getoetst, </w:t>
      </w:r>
      <w:r w:rsidR="00D41118" w:rsidRPr="008E33DF">
        <w:rPr>
          <w:rFonts w:cs="Helvetica"/>
        </w:rPr>
        <w:lastRenderedPageBreak/>
        <w:t xml:space="preserve">daar de toetsing van slechts </w:t>
      </w:r>
      <w:r w:rsidR="00C02F89" w:rsidRPr="008E33DF">
        <w:rPr>
          <w:rFonts w:cs="Helvetica"/>
        </w:rPr>
        <w:t>een</w:t>
      </w:r>
      <w:r w:rsidR="00D41118" w:rsidRPr="008E33DF">
        <w:rPr>
          <w:rFonts w:cs="Helvetica"/>
        </w:rPr>
        <w:t xml:space="preserve"> factor bepalend kan zijn. Bij de toegewezen uitspr</w:t>
      </w:r>
      <w:r w:rsidR="00521E24" w:rsidRPr="008E33DF">
        <w:rPr>
          <w:rFonts w:cs="Helvetica"/>
        </w:rPr>
        <w:t>aken is het andersom</w:t>
      </w:r>
      <w:r w:rsidR="00853FB2" w:rsidRPr="008E33DF">
        <w:rPr>
          <w:rFonts w:cs="Helvetica"/>
        </w:rPr>
        <w:t>. Hierbij m</w:t>
      </w:r>
      <w:r w:rsidR="0077294A" w:rsidRPr="008E33DF">
        <w:rPr>
          <w:rFonts w:cs="Helvetica"/>
        </w:rPr>
        <w:t xml:space="preserve">oet blijken dat de toetsing op geen enkel beoordelingsfactor </w:t>
      </w:r>
      <w:r w:rsidR="0068413F" w:rsidRPr="008E33DF">
        <w:rPr>
          <w:rFonts w:cs="Helvetica"/>
        </w:rPr>
        <w:t>aanl</w:t>
      </w:r>
      <w:r w:rsidR="00521E24" w:rsidRPr="008E33DF">
        <w:rPr>
          <w:rFonts w:cs="Helvetica"/>
        </w:rPr>
        <w:t>eiding geeft dat er geen sprake</w:t>
      </w:r>
      <w:r w:rsidR="0068413F" w:rsidRPr="008E33DF">
        <w:rPr>
          <w:rFonts w:cs="Helvetica"/>
        </w:rPr>
        <w:t xml:space="preserve"> kan </w:t>
      </w:r>
      <w:r w:rsidR="00521E24" w:rsidRPr="008E33DF">
        <w:rPr>
          <w:rFonts w:cs="Helvetica"/>
        </w:rPr>
        <w:t>zijn van een huurovereenkomst die</w:t>
      </w:r>
      <w:r w:rsidR="0068413F" w:rsidRPr="008E33DF">
        <w:rPr>
          <w:rFonts w:cs="Helvetica"/>
        </w:rPr>
        <w:t xml:space="preserve"> naar zijn aard van korte duur is.</w:t>
      </w:r>
    </w:p>
    <w:p w:rsidR="00EE5913" w:rsidRPr="008E33DF" w:rsidRDefault="00EE5913">
      <w:pPr>
        <w:rPr>
          <w:rFonts w:cs="Helvetica"/>
        </w:rPr>
      </w:pPr>
    </w:p>
    <w:p w:rsidR="0068413F" w:rsidRPr="008E33DF" w:rsidRDefault="0068413F">
      <w:pPr>
        <w:rPr>
          <w:rFonts w:cs="Helvetica"/>
        </w:rPr>
      </w:pPr>
      <w:r w:rsidRPr="008E33DF">
        <w:rPr>
          <w:rFonts w:cs="Helvetica"/>
        </w:rPr>
        <w:t>Voorts blijkt uit dit hoofdstuk dat</w:t>
      </w:r>
      <w:r w:rsidR="00C02F89" w:rsidRPr="008E33DF">
        <w:rPr>
          <w:rFonts w:cs="Helvetica"/>
        </w:rPr>
        <w:t xml:space="preserve"> er</w:t>
      </w:r>
      <w:r w:rsidRPr="008E33DF">
        <w:rPr>
          <w:rFonts w:cs="Helvetica"/>
        </w:rPr>
        <w:t xml:space="preserve"> bij de afgewezen uitspraken </w:t>
      </w:r>
      <w:r w:rsidR="00C02F89" w:rsidRPr="008E33DF">
        <w:rPr>
          <w:rFonts w:cs="Helvetica"/>
        </w:rPr>
        <w:t>g</w:t>
      </w:r>
      <w:r w:rsidR="001D7EFB" w:rsidRPr="008E33DF">
        <w:rPr>
          <w:rFonts w:cs="Helvetica"/>
        </w:rPr>
        <w:t xml:space="preserve">een </w:t>
      </w:r>
      <w:r w:rsidRPr="008E33DF">
        <w:rPr>
          <w:rFonts w:cs="Helvetica"/>
        </w:rPr>
        <w:t xml:space="preserve">factor </w:t>
      </w:r>
      <w:r w:rsidR="001D7EFB" w:rsidRPr="008E33DF">
        <w:rPr>
          <w:rFonts w:cs="Helvetica"/>
        </w:rPr>
        <w:t>aanwezig is</w:t>
      </w:r>
      <w:r w:rsidR="00C02F89" w:rsidRPr="008E33DF">
        <w:rPr>
          <w:rFonts w:cs="Helvetica"/>
        </w:rPr>
        <w:t>,</w:t>
      </w:r>
      <w:r w:rsidR="001D7EFB" w:rsidRPr="008E33DF">
        <w:rPr>
          <w:rFonts w:cs="Helvetica"/>
        </w:rPr>
        <w:t xml:space="preserve"> waarop de rechtervaker </w:t>
      </w:r>
      <w:r w:rsidRPr="008E33DF">
        <w:rPr>
          <w:rFonts w:cs="Helvetica"/>
        </w:rPr>
        <w:t>toetst d</w:t>
      </w:r>
      <w:r w:rsidR="001D7EFB" w:rsidRPr="008E33DF">
        <w:rPr>
          <w:rFonts w:cs="Helvetica"/>
        </w:rPr>
        <w:t>an op andere factoren</w:t>
      </w:r>
      <w:r w:rsidRPr="008E33DF">
        <w:rPr>
          <w:rFonts w:cs="Helvetica"/>
        </w:rPr>
        <w:t>. Bij de toegewezen uitspraken daarentegen</w:t>
      </w:r>
      <w:r w:rsidR="00C02F89" w:rsidRPr="008E33DF">
        <w:rPr>
          <w:rFonts w:cs="Helvetica"/>
        </w:rPr>
        <w:t>,</w:t>
      </w:r>
      <w:r w:rsidRPr="008E33DF">
        <w:rPr>
          <w:rFonts w:cs="Helvetica"/>
        </w:rPr>
        <w:t xml:space="preserve"> is het opvallend dat de rechter het vaakst toetst op de factoren: aard van het gebruik en bedoelingen van partijen. </w:t>
      </w:r>
    </w:p>
    <w:p w:rsidR="00EE5913" w:rsidRPr="008E33DF" w:rsidRDefault="00EE5913">
      <w:pPr>
        <w:rPr>
          <w:rFonts w:cs="Helvetica"/>
        </w:rPr>
      </w:pPr>
    </w:p>
    <w:p w:rsidR="0068413F" w:rsidRPr="008E33DF" w:rsidRDefault="0068413F">
      <w:pPr>
        <w:rPr>
          <w:rFonts w:cs="Helvetica"/>
        </w:rPr>
      </w:pPr>
      <w:r w:rsidRPr="008E33DF">
        <w:rPr>
          <w:rFonts w:cs="Helvetica"/>
        </w:rPr>
        <w:t>Tenslotte kan de conclusie worden getrokken dat de toetsing op d</w:t>
      </w:r>
      <w:r w:rsidR="00B03D68" w:rsidRPr="008E33DF">
        <w:rPr>
          <w:rFonts w:cs="Helvetica"/>
        </w:rPr>
        <w:t xml:space="preserve">e duur van het gebruik </w:t>
      </w:r>
      <w:r w:rsidRPr="008E33DF">
        <w:rPr>
          <w:rFonts w:cs="Helvetica"/>
        </w:rPr>
        <w:t xml:space="preserve">bij de afgewezen uitspraken een ander karakter heeft dan bij de toegewezen uitspraken. Bij de afgewezen uitspraken weegt de toetsing </w:t>
      </w:r>
      <w:r w:rsidR="00C71DF6" w:rsidRPr="008E33DF">
        <w:rPr>
          <w:rFonts w:cs="Helvetica"/>
        </w:rPr>
        <w:t>van de</w:t>
      </w:r>
      <w:r w:rsidRPr="008E33DF">
        <w:rPr>
          <w:rFonts w:cs="Helvetica"/>
        </w:rPr>
        <w:t xml:space="preserve"> duur van het gebruik</w:t>
      </w:r>
      <w:r w:rsidR="00C71DF6" w:rsidRPr="008E33DF">
        <w:rPr>
          <w:rFonts w:cs="Helvetica"/>
        </w:rPr>
        <w:t xml:space="preserve"> door de rechter net zo zwaar als de andere factoren. Bij de toegewez</w:t>
      </w:r>
      <w:r w:rsidR="00C02F89" w:rsidRPr="008E33DF">
        <w:rPr>
          <w:rFonts w:cs="Helvetica"/>
        </w:rPr>
        <w:t xml:space="preserve">en uitspraken weegt </w:t>
      </w:r>
      <w:r w:rsidR="00C71DF6" w:rsidRPr="008E33DF">
        <w:rPr>
          <w:rFonts w:cs="Helvetica"/>
        </w:rPr>
        <w:t>de toetsing op deze factor</w:t>
      </w:r>
      <w:r w:rsidR="00C02F89" w:rsidRPr="008E33DF">
        <w:rPr>
          <w:rFonts w:cs="Helvetica"/>
        </w:rPr>
        <w:t xml:space="preserve"> daarentegen</w:t>
      </w:r>
      <w:r w:rsidR="00C71DF6" w:rsidRPr="008E33DF">
        <w:rPr>
          <w:rFonts w:cs="Helvetica"/>
        </w:rPr>
        <w:t xml:space="preserve"> minder mee in de beoordeling. In de </w:t>
      </w:r>
      <w:r w:rsidR="00C02F89" w:rsidRPr="008E33DF">
        <w:rPr>
          <w:rFonts w:cs="Helvetica"/>
        </w:rPr>
        <w:t>acht</w:t>
      </w:r>
      <w:r w:rsidR="00C71DF6" w:rsidRPr="008E33DF">
        <w:rPr>
          <w:rFonts w:cs="Helvetica"/>
        </w:rPr>
        <w:t xml:space="preserve"> van de </w:t>
      </w:r>
      <w:r w:rsidR="00C02F89" w:rsidRPr="008E33DF">
        <w:rPr>
          <w:rFonts w:cs="Helvetica"/>
        </w:rPr>
        <w:t>vijftien</w:t>
      </w:r>
      <w:r w:rsidR="00C71DF6" w:rsidRPr="008E33DF">
        <w:rPr>
          <w:rFonts w:cs="Helvetica"/>
        </w:rPr>
        <w:t xml:space="preserve"> uitspraken zegt de rechter namelijk dat het feit of de omstandigheid niet af doet aan de beoordeling. </w:t>
      </w:r>
      <w:r w:rsidR="00C02F89" w:rsidRPr="008E33DF">
        <w:rPr>
          <w:rFonts w:cs="Helvetica"/>
        </w:rPr>
        <w:t>Welke feiten en omstandigheden hierbij een rol spelen komt in het volgende hoofdstuk aan bod.</w:t>
      </w:r>
    </w:p>
    <w:p w:rsidR="001D7EFB" w:rsidRPr="008E33DF" w:rsidRDefault="001D7EFB">
      <w:pPr>
        <w:rPr>
          <w:rFonts w:cs="Helvetica"/>
        </w:rPr>
      </w:pPr>
    </w:p>
    <w:p w:rsidR="001D7EFB" w:rsidRPr="008E33DF" w:rsidRDefault="001D7EFB">
      <w:pPr>
        <w:rPr>
          <w:rFonts w:cs="Helvetica"/>
        </w:rPr>
      </w:pPr>
    </w:p>
    <w:p w:rsidR="001D7EFB" w:rsidRPr="008E33DF" w:rsidRDefault="001D7EFB">
      <w:pPr>
        <w:rPr>
          <w:rFonts w:cs="Helvetica"/>
        </w:rPr>
      </w:pPr>
    </w:p>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5E7558">
      <w:pPr>
        <w:pStyle w:val="Kop1"/>
      </w:pPr>
    </w:p>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C02F89"/>
    <w:p w:rsidR="00C02F89" w:rsidRPr="008E33DF" w:rsidRDefault="00C02F89" w:rsidP="00C02F89"/>
    <w:p w:rsidR="001D7EFB" w:rsidRPr="008E33DF" w:rsidRDefault="001D7EFB" w:rsidP="005E7558">
      <w:pPr>
        <w:pStyle w:val="Kop1"/>
      </w:pPr>
      <w:bookmarkStart w:id="37" w:name="_Toc454253666"/>
      <w:r w:rsidRPr="008E33DF">
        <w:lastRenderedPageBreak/>
        <w:t>5. Resultaten: feiten en omstandigheden</w:t>
      </w:r>
      <w:bookmarkEnd w:id="37"/>
    </w:p>
    <w:p w:rsidR="00EE5913" w:rsidRPr="008E33DF" w:rsidRDefault="00EE5913" w:rsidP="001D7EFB">
      <w:pPr>
        <w:rPr>
          <w:rFonts w:cs="Helvetica"/>
          <w:b/>
          <w:color w:val="17365D" w:themeColor="text2" w:themeShade="BF"/>
          <w:sz w:val="28"/>
          <w:szCs w:val="28"/>
        </w:rPr>
      </w:pPr>
    </w:p>
    <w:p w:rsidR="001D7EFB" w:rsidRPr="008E33DF" w:rsidRDefault="001D7EFB" w:rsidP="001D7EFB">
      <w:pPr>
        <w:rPr>
          <w:rFonts w:cs="Helvetica"/>
        </w:rPr>
      </w:pPr>
      <w:r w:rsidRPr="008E33DF">
        <w:rPr>
          <w:rFonts w:cs="Helvetica"/>
        </w:rPr>
        <w:t>In</w:t>
      </w:r>
      <w:r w:rsidR="009F1070" w:rsidRPr="008E33DF">
        <w:rPr>
          <w:rFonts w:cs="Helvetica"/>
        </w:rPr>
        <w:t xml:space="preserve"> dit hoofdstuk wordt</w:t>
      </w:r>
      <w:r w:rsidRPr="008E33DF">
        <w:rPr>
          <w:rFonts w:cs="Helvetica"/>
        </w:rPr>
        <w:t xml:space="preserve"> een antwoord </w:t>
      </w:r>
      <w:r w:rsidR="009F1070" w:rsidRPr="008E33DF">
        <w:rPr>
          <w:rFonts w:cs="Helvetica"/>
        </w:rPr>
        <w:t>ge</w:t>
      </w:r>
      <w:r w:rsidRPr="008E33DF">
        <w:rPr>
          <w:rFonts w:cs="Helvetica"/>
        </w:rPr>
        <w:t xml:space="preserve">geven op de </w:t>
      </w:r>
      <w:r w:rsidR="009F1070" w:rsidRPr="008E33DF">
        <w:rPr>
          <w:rFonts w:cs="Helvetica"/>
        </w:rPr>
        <w:t>vierde</w:t>
      </w:r>
      <w:r w:rsidRPr="008E33DF">
        <w:rPr>
          <w:rFonts w:cs="Helvetica"/>
        </w:rPr>
        <w:t xml:space="preserve"> deelvraag:</w:t>
      </w:r>
    </w:p>
    <w:p w:rsidR="007108EC" w:rsidRPr="008E33DF" w:rsidRDefault="007108EC" w:rsidP="007108EC">
      <w:pPr>
        <w:rPr>
          <w:rFonts w:cs="Helvetica"/>
          <w:i/>
        </w:rPr>
      </w:pPr>
      <w:r w:rsidRPr="008E33DF">
        <w:rPr>
          <w:rFonts w:cs="Helvetica"/>
          <w:i/>
        </w:rPr>
        <w:t>Welke feiten en omstandigheden zijn doorslaggevend voor de rechter bij het toetsen op de beoordelingsfactoren?</w:t>
      </w:r>
    </w:p>
    <w:p w:rsidR="00EE5913" w:rsidRPr="008E33DF" w:rsidRDefault="00EE5913" w:rsidP="001D7EFB">
      <w:pPr>
        <w:rPr>
          <w:rFonts w:cs="Helvetica"/>
          <w:i/>
        </w:rPr>
      </w:pPr>
    </w:p>
    <w:p w:rsidR="001D7EFB" w:rsidRPr="008E33DF" w:rsidRDefault="001623C9" w:rsidP="001D7EFB">
      <w:pPr>
        <w:rPr>
          <w:rFonts w:cs="Helvetica"/>
        </w:rPr>
      </w:pPr>
      <w:r w:rsidRPr="008E33DF">
        <w:rPr>
          <w:rFonts w:cs="Helvetica"/>
        </w:rPr>
        <w:t xml:space="preserve">In het </w:t>
      </w:r>
      <w:r w:rsidR="001D7EFB" w:rsidRPr="008E33DF">
        <w:rPr>
          <w:rFonts w:cs="Helvetica"/>
        </w:rPr>
        <w:t xml:space="preserve">vorige hoofdstuk is antwoord gegeven op de vraag </w:t>
      </w:r>
      <w:r w:rsidR="009F1070" w:rsidRPr="008E33DF">
        <w:rPr>
          <w:rFonts w:cs="Helvetica"/>
        </w:rPr>
        <w:t xml:space="preserve">op </w:t>
      </w:r>
      <w:r w:rsidR="001D7EFB" w:rsidRPr="008E33DF">
        <w:rPr>
          <w:rFonts w:cs="Helvetica"/>
        </w:rPr>
        <w:t>welke factoren getoetst</w:t>
      </w:r>
      <w:r w:rsidR="009F1070" w:rsidRPr="008E33DF">
        <w:rPr>
          <w:rFonts w:cs="Helvetica"/>
        </w:rPr>
        <w:t xml:space="preserve"> wordt</w:t>
      </w:r>
      <w:r w:rsidR="001D7EFB" w:rsidRPr="008E33DF">
        <w:rPr>
          <w:rFonts w:cs="Helvetica"/>
        </w:rPr>
        <w:t xml:space="preserve"> door de rechter bij een beroep op art. 7:232 lid 2 BW. </w:t>
      </w:r>
      <w:r w:rsidR="00FB663C" w:rsidRPr="008E33DF">
        <w:rPr>
          <w:rFonts w:cs="Helvetica"/>
        </w:rPr>
        <w:t>Hieruit is gebleken dat de rechter toetst op de volgende vier factoren: de aard van het gehuurde, de aard van het gebruik, de bedoelingen van partijen en de duur van het gebruik. In dit hoofdstuk wordt behandeld we</w:t>
      </w:r>
      <w:r w:rsidR="00EE5913" w:rsidRPr="008E33DF">
        <w:rPr>
          <w:rFonts w:cs="Helvetica"/>
        </w:rPr>
        <w:t>lke feiten en omstandigheden</w:t>
      </w:r>
      <w:r w:rsidR="009F1070" w:rsidRPr="008E33DF">
        <w:rPr>
          <w:rFonts w:cs="Helvetica"/>
        </w:rPr>
        <w:t xml:space="preserve"> een</w:t>
      </w:r>
      <w:r w:rsidR="00EE5913" w:rsidRPr="008E33DF">
        <w:rPr>
          <w:rFonts w:cs="Helvetica"/>
        </w:rPr>
        <w:t xml:space="preserve"> doorslaggevend</w:t>
      </w:r>
      <w:r w:rsidR="009F1070" w:rsidRPr="008E33DF">
        <w:rPr>
          <w:rFonts w:cs="Helvetica"/>
        </w:rPr>
        <w:t>e</w:t>
      </w:r>
      <w:r w:rsidR="00FB663C" w:rsidRPr="008E33DF">
        <w:rPr>
          <w:rFonts w:cs="Helvetica"/>
        </w:rPr>
        <w:t xml:space="preserve"> rol spelen </w:t>
      </w:r>
      <w:r w:rsidR="009F1070" w:rsidRPr="008E33DF">
        <w:rPr>
          <w:rFonts w:cs="Helvetica"/>
        </w:rPr>
        <w:t>in</w:t>
      </w:r>
      <w:r w:rsidR="00FB663C" w:rsidRPr="008E33DF">
        <w:rPr>
          <w:rFonts w:cs="Helvetica"/>
        </w:rPr>
        <w:t xml:space="preserve"> de beoord</w:t>
      </w:r>
      <w:r w:rsidRPr="008E33DF">
        <w:rPr>
          <w:rFonts w:cs="Helvetica"/>
        </w:rPr>
        <w:t xml:space="preserve">eling </w:t>
      </w:r>
      <w:r w:rsidR="009F1070" w:rsidRPr="008E33DF">
        <w:rPr>
          <w:rFonts w:cs="Helvetica"/>
        </w:rPr>
        <w:t>van</w:t>
      </w:r>
      <w:r w:rsidRPr="008E33DF">
        <w:rPr>
          <w:rFonts w:cs="Helvetica"/>
        </w:rPr>
        <w:t xml:space="preserve"> de rechter</w:t>
      </w:r>
      <w:r w:rsidR="00FB663C" w:rsidRPr="008E33DF">
        <w:rPr>
          <w:rFonts w:cs="Helvetica"/>
        </w:rPr>
        <w:t xml:space="preserve"> bij de toetsing op deze factoren. In paragraaf 5.1 wordt eerst een toelichting gegeven op de aanpak. Vervolgens wordt </w:t>
      </w:r>
      <w:r w:rsidR="00EE5913" w:rsidRPr="008E33DF">
        <w:rPr>
          <w:rFonts w:cs="Helvetica"/>
        </w:rPr>
        <w:t xml:space="preserve">in de paragrafen 5.2 t/m 5.5 </w:t>
      </w:r>
      <w:r w:rsidRPr="008E33DF">
        <w:rPr>
          <w:rFonts w:cs="Helvetica"/>
        </w:rPr>
        <w:t xml:space="preserve">ingegaan </w:t>
      </w:r>
      <w:r w:rsidR="00EE5913" w:rsidRPr="008E33DF">
        <w:rPr>
          <w:rFonts w:cs="Helvetica"/>
        </w:rPr>
        <w:t>op</w:t>
      </w:r>
      <w:r w:rsidR="009271A3" w:rsidRPr="008E33DF">
        <w:rPr>
          <w:rFonts w:cs="Helvetica"/>
        </w:rPr>
        <w:t xml:space="preserve"> fe</w:t>
      </w:r>
      <w:r w:rsidRPr="008E33DF">
        <w:rPr>
          <w:rFonts w:cs="Helvetica"/>
        </w:rPr>
        <w:t>iten en omstandigheden</w:t>
      </w:r>
      <w:r w:rsidR="00EE5913" w:rsidRPr="008E33DF">
        <w:rPr>
          <w:rFonts w:cs="Helvetica"/>
        </w:rPr>
        <w:t xml:space="preserve"> per beoordelingsfactor. Aan het einde van elk</w:t>
      </w:r>
      <w:r w:rsidR="009F1070" w:rsidRPr="008E33DF">
        <w:rPr>
          <w:rFonts w:cs="Helvetica"/>
        </w:rPr>
        <w:t>e</w:t>
      </w:r>
      <w:r w:rsidR="00EE5913" w:rsidRPr="008E33DF">
        <w:rPr>
          <w:rFonts w:cs="Helvetica"/>
        </w:rPr>
        <w:t xml:space="preserve"> paragraaf wordt een conclusie gegeven.</w:t>
      </w:r>
    </w:p>
    <w:p w:rsidR="001D7EFB" w:rsidRPr="008E33DF" w:rsidRDefault="001D7EFB" w:rsidP="001D7EFB">
      <w:pPr>
        <w:rPr>
          <w:rFonts w:cs="Helvetica"/>
          <w:b/>
          <w:color w:val="548DD4" w:themeColor="text2" w:themeTint="99"/>
        </w:rPr>
      </w:pPr>
    </w:p>
    <w:p w:rsidR="001D7EFB" w:rsidRPr="008E33DF" w:rsidRDefault="00CE6040" w:rsidP="005E7558">
      <w:pPr>
        <w:pStyle w:val="Kop2"/>
      </w:pPr>
      <w:bookmarkStart w:id="38" w:name="_Toc454253667"/>
      <w:r w:rsidRPr="008E33DF">
        <w:t>5</w:t>
      </w:r>
      <w:r w:rsidR="001D7EFB" w:rsidRPr="008E33DF">
        <w:t>.1 Aanpak</w:t>
      </w:r>
      <w:bookmarkEnd w:id="38"/>
    </w:p>
    <w:p w:rsidR="00164CA5" w:rsidRPr="008E33DF" w:rsidRDefault="001D7EFB" w:rsidP="001D7EFB">
      <w:pPr>
        <w:rPr>
          <w:rFonts w:cs="Helvetica"/>
        </w:rPr>
      </w:pPr>
      <w:r w:rsidRPr="008E33DF">
        <w:rPr>
          <w:rFonts w:cs="Helvetica"/>
        </w:rPr>
        <w:t>Voor de beantwoording van deze deelvraag zijn</w:t>
      </w:r>
      <w:r w:rsidR="009271A3" w:rsidRPr="008E33DF">
        <w:rPr>
          <w:rFonts w:cs="Helvetica"/>
        </w:rPr>
        <w:t xml:space="preserve"> dezelfde</w:t>
      </w:r>
      <w:r w:rsidR="00F161AE" w:rsidRPr="008E33DF">
        <w:rPr>
          <w:rFonts w:cs="Helvetica"/>
        </w:rPr>
        <w:t xml:space="preserve"> uitspraken bestudeerd</w:t>
      </w:r>
      <w:r w:rsidRPr="008E33DF">
        <w:rPr>
          <w:rFonts w:cs="Helvetica"/>
        </w:rPr>
        <w:t xml:space="preserve"> en schematisch geanalyseerd</w:t>
      </w:r>
      <w:r w:rsidR="009271A3" w:rsidRPr="008E33DF">
        <w:rPr>
          <w:rFonts w:cs="Helvetica"/>
        </w:rPr>
        <w:t xml:space="preserve"> als </w:t>
      </w:r>
      <w:r w:rsidR="009F1070" w:rsidRPr="008E33DF">
        <w:rPr>
          <w:rFonts w:cs="Helvetica"/>
        </w:rPr>
        <w:t>in</w:t>
      </w:r>
      <w:r w:rsidR="00F161AE" w:rsidRPr="008E33DF">
        <w:rPr>
          <w:rFonts w:cs="Helvetica"/>
        </w:rPr>
        <w:t xml:space="preserve"> het</w:t>
      </w:r>
      <w:r w:rsidR="005B2C8C" w:rsidRPr="008E33DF">
        <w:rPr>
          <w:rFonts w:cs="Helvetica"/>
        </w:rPr>
        <w:t xml:space="preserve"> vorige hoofdstuk</w:t>
      </w:r>
      <w:r w:rsidRPr="008E33DF">
        <w:rPr>
          <w:rFonts w:cs="Helvetica"/>
        </w:rPr>
        <w:t>.</w:t>
      </w:r>
      <w:r w:rsidR="00397DED" w:rsidRPr="008E33DF">
        <w:rPr>
          <w:rFonts w:cs="Helvetica"/>
        </w:rPr>
        <w:t xml:space="preserve"> </w:t>
      </w:r>
      <w:r w:rsidR="00F161AE" w:rsidRPr="008E33DF">
        <w:rPr>
          <w:rFonts w:cs="Helvetica"/>
        </w:rPr>
        <w:t xml:space="preserve">Zodoende </w:t>
      </w:r>
      <w:r w:rsidR="009F1070" w:rsidRPr="008E33DF">
        <w:rPr>
          <w:rFonts w:cs="Helvetica"/>
        </w:rPr>
        <w:t>wordt</w:t>
      </w:r>
      <w:r w:rsidR="00F161AE" w:rsidRPr="008E33DF">
        <w:rPr>
          <w:rFonts w:cs="Helvetica"/>
        </w:rPr>
        <w:t xml:space="preserve"> ook in dit hoofdstuk gebruikgemaakt van het schema uit </w:t>
      </w:r>
      <w:r w:rsidR="009F1070" w:rsidRPr="008E33DF">
        <w:rPr>
          <w:rFonts w:cs="Helvetica"/>
        </w:rPr>
        <w:t>b</w:t>
      </w:r>
      <w:r w:rsidR="00F161AE" w:rsidRPr="008E33DF">
        <w:rPr>
          <w:rFonts w:cs="Helvetica"/>
        </w:rPr>
        <w:t xml:space="preserve">ijlage 1. Tevens </w:t>
      </w:r>
      <w:r w:rsidR="009F1070" w:rsidRPr="008E33DF">
        <w:rPr>
          <w:rFonts w:cs="Helvetica"/>
        </w:rPr>
        <w:t>bevat</w:t>
      </w:r>
      <w:r w:rsidR="00F161AE" w:rsidRPr="008E33DF">
        <w:rPr>
          <w:rFonts w:cs="Helvetica"/>
        </w:rPr>
        <w:t xml:space="preserve"> dit hoofdstuk </w:t>
      </w:r>
      <w:r w:rsidR="00164CA5" w:rsidRPr="008E33DF">
        <w:rPr>
          <w:rFonts w:cs="Helvetica"/>
        </w:rPr>
        <w:t>tabellen met</w:t>
      </w:r>
      <w:r w:rsidRPr="008E33DF">
        <w:rPr>
          <w:rFonts w:cs="Helvetica"/>
        </w:rPr>
        <w:t xml:space="preserve"> informatie</w:t>
      </w:r>
      <w:r w:rsidR="00F161AE" w:rsidRPr="008E33DF">
        <w:rPr>
          <w:rFonts w:cs="Helvetica"/>
        </w:rPr>
        <w:t xml:space="preserve"> die ontleend is aan </w:t>
      </w:r>
      <w:r w:rsidR="009F1070" w:rsidRPr="008E33DF">
        <w:rPr>
          <w:rFonts w:cs="Helvetica"/>
        </w:rPr>
        <w:t>dat</w:t>
      </w:r>
      <w:r w:rsidR="00164CA5" w:rsidRPr="008E33DF">
        <w:rPr>
          <w:rFonts w:cs="Helvetica"/>
        </w:rPr>
        <w:t xml:space="preserve"> schema</w:t>
      </w:r>
      <w:r w:rsidRPr="008E33DF">
        <w:rPr>
          <w:rFonts w:cs="Helvetica"/>
        </w:rPr>
        <w:t>.</w:t>
      </w:r>
      <w:r w:rsidR="00164CA5" w:rsidRPr="008E33DF">
        <w:rPr>
          <w:rFonts w:cs="Helvetica"/>
        </w:rPr>
        <w:t xml:space="preserve"> Er </w:t>
      </w:r>
      <w:r w:rsidR="00CB44F6" w:rsidRPr="008E33DF">
        <w:rPr>
          <w:rFonts w:cs="Helvetica"/>
        </w:rPr>
        <w:t>zijn in totaal acht tabellen gemaakt</w:t>
      </w:r>
      <w:r w:rsidR="009F1070" w:rsidRPr="008E33DF">
        <w:rPr>
          <w:rFonts w:cs="Helvetica"/>
        </w:rPr>
        <w:t>:</w:t>
      </w:r>
      <w:r w:rsidR="00274F27" w:rsidRPr="008E33DF">
        <w:rPr>
          <w:rFonts w:cs="Helvetica"/>
        </w:rPr>
        <w:t xml:space="preserve"> </w:t>
      </w:r>
      <w:r w:rsidR="009F1070" w:rsidRPr="008E33DF">
        <w:rPr>
          <w:rFonts w:cs="Helvetica"/>
        </w:rPr>
        <w:t>v</w:t>
      </w:r>
      <w:r w:rsidR="00CB44F6" w:rsidRPr="008E33DF">
        <w:rPr>
          <w:rFonts w:cs="Helvetica"/>
        </w:rPr>
        <w:t>ier</w:t>
      </w:r>
      <w:r w:rsidR="00274F27" w:rsidRPr="008E33DF">
        <w:rPr>
          <w:rFonts w:cs="Helvetica"/>
        </w:rPr>
        <w:t xml:space="preserve"> </w:t>
      </w:r>
      <w:r w:rsidR="00CB44F6" w:rsidRPr="008E33DF">
        <w:rPr>
          <w:rFonts w:cs="Helvetica"/>
        </w:rPr>
        <w:t xml:space="preserve">voor de uitspraken waarbij het beroep wordt afgewezen (voor elke factor </w:t>
      </w:r>
      <w:r w:rsidR="009F1070" w:rsidRPr="008E33DF">
        <w:rPr>
          <w:rFonts w:cs="Helvetica"/>
        </w:rPr>
        <w:t>een</w:t>
      </w:r>
      <w:r w:rsidR="00CB44F6" w:rsidRPr="008E33DF">
        <w:rPr>
          <w:rFonts w:cs="Helvetica"/>
        </w:rPr>
        <w:t xml:space="preserve"> tabel) en vier tabellen voor de uitspraken waarbij het beroep wordt toegewezen. De tabell</w:t>
      </w:r>
      <w:r w:rsidR="00F161AE" w:rsidRPr="008E33DF">
        <w:rPr>
          <w:rFonts w:cs="Helvetica"/>
        </w:rPr>
        <w:t xml:space="preserve">en zijn als volgt gemaakt: </w:t>
      </w:r>
      <w:r w:rsidR="009F1070" w:rsidRPr="008E33DF">
        <w:rPr>
          <w:rFonts w:cs="Helvetica"/>
        </w:rPr>
        <w:t>u</w:t>
      </w:r>
      <w:r w:rsidR="00F161AE" w:rsidRPr="008E33DF">
        <w:rPr>
          <w:rFonts w:cs="Helvetica"/>
        </w:rPr>
        <w:t>it h</w:t>
      </w:r>
      <w:r w:rsidR="00CB44F6" w:rsidRPr="008E33DF">
        <w:rPr>
          <w:rFonts w:cs="Helvetica"/>
        </w:rPr>
        <w:t>e</w:t>
      </w:r>
      <w:r w:rsidR="00F161AE" w:rsidRPr="008E33DF">
        <w:rPr>
          <w:rFonts w:cs="Helvetica"/>
        </w:rPr>
        <w:t>t</w:t>
      </w:r>
      <w:r w:rsidR="00CB44F6" w:rsidRPr="008E33DF">
        <w:rPr>
          <w:rFonts w:cs="Helvetica"/>
        </w:rPr>
        <w:t xml:space="preserve"> schema van </w:t>
      </w:r>
      <w:r w:rsidR="009F1070" w:rsidRPr="008E33DF">
        <w:rPr>
          <w:rFonts w:cs="Helvetica"/>
        </w:rPr>
        <w:t>b</w:t>
      </w:r>
      <w:r w:rsidR="00CB44F6" w:rsidRPr="008E33DF">
        <w:rPr>
          <w:rFonts w:cs="Helvetica"/>
        </w:rPr>
        <w:t>ijlage 1 is</w:t>
      </w:r>
      <w:r w:rsidR="009F1070" w:rsidRPr="008E33DF">
        <w:rPr>
          <w:rFonts w:cs="Helvetica"/>
        </w:rPr>
        <w:t xml:space="preserve"> per uitspraak af te lezen welk</w:t>
      </w:r>
      <w:r w:rsidR="00CB44F6" w:rsidRPr="008E33DF">
        <w:rPr>
          <w:rFonts w:cs="Helvetica"/>
        </w:rPr>
        <w:t xml:space="preserve"> feit</w:t>
      </w:r>
      <w:r w:rsidR="00F161AE" w:rsidRPr="008E33DF">
        <w:rPr>
          <w:rFonts w:cs="Helvetica"/>
        </w:rPr>
        <w:t xml:space="preserve"> of</w:t>
      </w:r>
      <w:r w:rsidR="009F1070" w:rsidRPr="008E33DF">
        <w:rPr>
          <w:rFonts w:cs="Helvetica"/>
        </w:rPr>
        <w:t xml:space="preserve"> welke</w:t>
      </w:r>
      <w:r w:rsidR="00F161AE" w:rsidRPr="008E33DF">
        <w:rPr>
          <w:rFonts w:cs="Helvetica"/>
        </w:rPr>
        <w:t xml:space="preserve"> omstandigheid van belang was</w:t>
      </w:r>
      <w:r w:rsidR="00CB44F6" w:rsidRPr="008E33DF">
        <w:rPr>
          <w:rFonts w:cs="Helvetica"/>
        </w:rPr>
        <w:t xml:space="preserve"> voor de beoordeling van de rechter bij de toetsing </w:t>
      </w:r>
      <w:r w:rsidR="0004146F" w:rsidRPr="008E33DF">
        <w:rPr>
          <w:rFonts w:cs="Helvetica"/>
        </w:rPr>
        <w:t>op</w:t>
      </w:r>
      <w:r w:rsidR="00CB44F6" w:rsidRPr="008E33DF">
        <w:rPr>
          <w:rFonts w:cs="Helvetica"/>
        </w:rPr>
        <w:t xml:space="preserve"> de desbetreffende factor. </w:t>
      </w:r>
      <w:r w:rsidR="0004146F" w:rsidRPr="008E33DF">
        <w:rPr>
          <w:rFonts w:cs="Helvetica"/>
        </w:rPr>
        <w:t>Deze feiten en omstandigheden zijn onderverdeeld in categorieën. Vervolgens is er per uitspraak een "1" geplaatst bij</w:t>
      </w:r>
      <w:r w:rsidR="00CE6040" w:rsidRPr="008E33DF">
        <w:rPr>
          <w:rFonts w:cs="Helvetica"/>
        </w:rPr>
        <w:t xml:space="preserve"> de</w:t>
      </w:r>
      <w:r w:rsidR="0004146F" w:rsidRPr="008E33DF">
        <w:rPr>
          <w:rFonts w:cs="Helvetica"/>
        </w:rPr>
        <w:t xml:space="preserve"> desbetreffende categorie, waarbij de rechter een feit of omstandigheid uit die categorie belangrij</w:t>
      </w:r>
      <w:r w:rsidR="00CE6040" w:rsidRPr="008E33DF">
        <w:rPr>
          <w:rFonts w:cs="Helvetica"/>
        </w:rPr>
        <w:t xml:space="preserve">k heeft geacht bij zijn beoordeling. Bij elke tabel </w:t>
      </w:r>
      <w:r w:rsidR="009F1070" w:rsidRPr="008E33DF">
        <w:rPr>
          <w:rFonts w:cs="Helvetica"/>
        </w:rPr>
        <w:t>hoort</w:t>
      </w:r>
      <w:r w:rsidR="00CE6040" w:rsidRPr="008E33DF">
        <w:rPr>
          <w:rFonts w:cs="Helvetica"/>
        </w:rPr>
        <w:t xml:space="preserve"> bijlage</w:t>
      </w:r>
      <w:r w:rsidR="009F1070" w:rsidRPr="008E33DF">
        <w:rPr>
          <w:rFonts w:cs="Helvetica"/>
        </w:rPr>
        <w:t>,</w:t>
      </w:r>
      <w:r w:rsidR="00CE6040" w:rsidRPr="008E33DF">
        <w:rPr>
          <w:rFonts w:cs="Helvetica"/>
        </w:rPr>
        <w:t xml:space="preserve"> waarin overzichtelijk </w:t>
      </w:r>
      <w:r w:rsidR="009F1070" w:rsidRPr="008E33DF">
        <w:rPr>
          <w:rFonts w:cs="Helvetica"/>
        </w:rPr>
        <w:t>is</w:t>
      </w:r>
      <w:r w:rsidR="00CE6040" w:rsidRPr="008E33DF">
        <w:rPr>
          <w:rFonts w:cs="Helvetica"/>
        </w:rPr>
        <w:t xml:space="preserve"> gemaakt welke feiten en omstandigheden zijn onderverdeeld in welke categorie. Ten slotte is er bij elke tabel ook een grafiek gemaakt</w:t>
      </w:r>
      <w:r w:rsidR="009F1070" w:rsidRPr="008E33DF">
        <w:rPr>
          <w:rFonts w:cs="Helvetica"/>
        </w:rPr>
        <w:t>,die</w:t>
      </w:r>
      <w:r w:rsidR="00CE6040" w:rsidRPr="008E33DF">
        <w:rPr>
          <w:rFonts w:cs="Helvetica"/>
        </w:rPr>
        <w:t xml:space="preserve"> dient voor de overzichtelijkheid.</w:t>
      </w:r>
    </w:p>
    <w:p w:rsidR="00EE5913" w:rsidRPr="008E33DF" w:rsidRDefault="00EE5913" w:rsidP="001D7EFB">
      <w:pPr>
        <w:rPr>
          <w:rFonts w:cs="Helvetica"/>
          <w:b/>
          <w:color w:val="548DD4" w:themeColor="text2" w:themeTint="99"/>
        </w:rPr>
      </w:pPr>
    </w:p>
    <w:p w:rsidR="00CE6040" w:rsidRPr="008E33DF" w:rsidRDefault="00CE6040" w:rsidP="005E7558">
      <w:pPr>
        <w:pStyle w:val="Kop2"/>
      </w:pPr>
      <w:bookmarkStart w:id="39" w:name="_Toc454253668"/>
      <w:r w:rsidRPr="008E33DF">
        <w:t xml:space="preserve">5.2 </w:t>
      </w:r>
      <w:r w:rsidR="009E6B0D" w:rsidRPr="008E33DF">
        <w:t xml:space="preserve">Aard van </w:t>
      </w:r>
      <w:r w:rsidR="00DF7AD8" w:rsidRPr="008E33DF">
        <w:t>het gehuurde</w:t>
      </w:r>
      <w:bookmarkEnd w:id="39"/>
    </w:p>
    <w:p w:rsidR="009E6B0D" w:rsidRPr="008E33DF" w:rsidRDefault="009E6B0D" w:rsidP="001D7EFB">
      <w:pPr>
        <w:rPr>
          <w:rFonts w:cs="Helvetica"/>
          <w:szCs w:val="20"/>
        </w:rPr>
      </w:pPr>
      <w:r w:rsidRPr="008E33DF">
        <w:rPr>
          <w:rFonts w:cs="Helvetica"/>
          <w:szCs w:val="20"/>
        </w:rPr>
        <w:t>In d</w:t>
      </w:r>
      <w:r w:rsidR="00F161AE" w:rsidRPr="008E33DF">
        <w:rPr>
          <w:rFonts w:cs="Helvetica"/>
          <w:szCs w:val="20"/>
        </w:rPr>
        <w:t>eze paragraaf wordt de</w:t>
      </w:r>
      <w:r w:rsidR="00397DED" w:rsidRPr="008E33DF">
        <w:rPr>
          <w:rFonts w:cs="Helvetica"/>
          <w:szCs w:val="20"/>
        </w:rPr>
        <w:t xml:space="preserve"> </w:t>
      </w:r>
      <w:r w:rsidR="00EE5913" w:rsidRPr="008E33DF">
        <w:rPr>
          <w:rFonts w:cs="Helvetica"/>
          <w:szCs w:val="20"/>
        </w:rPr>
        <w:t>beoordelings</w:t>
      </w:r>
      <w:r w:rsidR="00397DED" w:rsidRPr="008E33DF">
        <w:rPr>
          <w:rFonts w:cs="Helvetica"/>
          <w:szCs w:val="20"/>
        </w:rPr>
        <w:t>factor</w:t>
      </w:r>
      <w:r w:rsidRPr="008E33DF">
        <w:rPr>
          <w:rFonts w:cs="Helvetica"/>
          <w:szCs w:val="20"/>
        </w:rPr>
        <w:t xml:space="preserve"> </w:t>
      </w:r>
      <w:r w:rsidR="00397DED" w:rsidRPr="008E33DF">
        <w:rPr>
          <w:rFonts w:cs="Helvetica"/>
          <w:szCs w:val="20"/>
        </w:rPr>
        <w:t>'</w:t>
      </w:r>
      <w:r w:rsidRPr="008E33DF">
        <w:rPr>
          <w:rFonts w:cs="Helvetica"/>
          <w:szCs w:val="20"/>
        </w:rPr>
        <w:t>aard van het</w:t>
      </w:r>
      <w:r w:rsidR="00F161AE" w:rsidRPr="008E33DF">
        <w:rPr>
          <w:rFonts w:cs="Helvetica"/>
          <w:szCs w:val="20"/>
        </w:rPr>
        <w:t xml:space="preserve"> gehuurde</w:t>
      </w:r>
      <w:r w:rsidR="00397DED" w:rsidRPr="008E33DF">
        <w:rPr>
          <w:rFonts w:cs="Helvetica"/>
          <w:szCs w:val="20"/>
        </w:rPr>
        <w:t>' behandeld</w:t>
      </w:r>
      <w:r w:rsidR="00F161AE" w:rsidRPr="008E33DF">
        <w:rPr>
          <w:rFonts w:cs="Helvetica"/>
          <w:szCs w:val="20"/>
        </w:rPr>
        <w:t>. Eerst wordt ingegaan op</w:t>
      </w:r>
      <w:r w:rsidRPr="008E33DF">
        <w:rPr>
          <w:rFonts w:cs="Helvetica"/>
          <w:szCs w:val="20"/>
        </w:rPr>
        <w:t xml:space="preserve"> de feiten en omstandigheden uit de uitspraken waarbij het beroep op art. 7:232 lid 2 BW wordt afgewezen. Vervo</w:t>
      </w:r>
      <w:r w:rsidR="00F161AE" w:rsidRPr="008E33DF">
        <w:rPr>
          <w:rFonts w:cs="Helvetica"/>
          <w:szCs w:val="20"/>
        </w:rPr>
        <w:t>lgens komen</w:t>
      </w:r>
      <w:r w:rsidRPr="008E33DF">
        <w:rPr>
          <w:rFonts w:cs="Helvetica"/>
          <w:szCs w:val="20"/>
        </w:rPr>
        <w:t xml:space="preserve"> de feiten en omstandigheden</w:t>
      </w:r>
      <w:r w:rsidR="009F1070" w:rsidRPr="008E33DF">
        <w:rPr>
          <w:rFonts w:cs="Helvetica"/>
          <w:szCs w:val="20"/>
        </w:rPr>
        <w:t xml:space="preserve"> aan bod</w:t>
      </w:r>
      <w:r w:rsidRPr="008E33DF">
        <w:rPr>
          <w:rFonts w:cs="Helvetica"/>
          <w:szCs w:val="20"/>
        </w:rPr>
        <w:t xml:space="preserve"> waarbij het beroep op art. 7:232 lid 2</w:t>
      </w:r>
      <w:r w:rsidR="002264CB" w:rsidRPr="008E33DF">
        <w:rPr>
          <w:rFonts w:cs="Helvetica"/>
          <w:szCs w:val="20"/>
        </w:rPr>
        <w:t xml:space="preserve"> BW</w:t>
      </w:r>
      <w:r w:rsidRPr="008E33DF">
        <w:rPr>
          <w:rFonts w:cs="Helvetica"/>
          <w:szCs w:val="20"/>
        </w:rPr>
        <w:t xml:space="preserve"> wordt </w:t>
      </w:r>
      <w:r w:rsidR="007F4AD2" w:rsidRPr="008E33DF">
        <w:rPr>
          <w:rFonts w:cs="Helvetica"/>
          <w:szCs w:val="20"/>
        </w:rPr>
        <w:t>toegewezen</w:t>
      </w:r>
      <w:r w:rsidR="00F161AE" w:rsidRPr="008E33DF">
        <w:rPr>
          <w:rFonts w:cs="Helvetica"/>
          <w:szCs w:val="20"/>
        </w:rPr>
        <w:t>. Ten slotte volgt een conclusie</w:t>
      </w:r>
      <w:r w:rsidRPr="008E33DF">
        <w:rPr>
          <w:rFonts w:cs="Helvetica"/>
          <w:szCs w:val="20"/>
        </w:rPr>
        <w:t>.</w:t>
      </w:r>
    </w:p>
    <w:p w:rsidR="0044183B" w:rsidRPr="008E33DF" w:rsidRDefault="0044183B" w:rsidP="00880827">
      <w:pPr>
        <w:rPr>
          <w:rFonts w:cs="Helvetica"/>
          <w:b/>
          <w:color w:val="8DB3E2" w:themeColor="text2" w:themeTint="66"/>
          <w:szCs w:val="20"/>
        </w:rPr>
      </w:pPr>
    </w:p>
    <w:p w:rsidR="0044183B" w:rsidRPr="008E33DF" w:rsidRDefault="0044183B" w:rsidP="00880827">
      <w:pPr>
        <w:rPr>
          <w:rFonts w:cs="Helvetica"/>
          <w:b/>
          <w:color w:val="8DB3E2" w:themeColor="text2" w:themeTint="66"/>
          <w:szCs w:val="20"/>
        </w:rPr>
      </w:pPr>
    </w:p>
    <w:p w:rsidR="00F62897" w:rsidRPr="008E33DF" w:rsidRDefault="00F62897" w:rsidP="00880827">
      <w:pPr>
        <w:rPr>
          <w:rFonts w:cs="Helvetica"/>
          <w:b/>
          <w:color w:val="8DB3E2" w:themeColor="text2" w:themeTint="66"/>
          <w:szCs w:val="20"/>
        </w:rPr>
      </w:pPr>
    </w:p>
    <w:p w:rsidR="0044183B" w:rsidRPr="008E33DF" w:rsidRDefault="0044183B" w:rsidP="00880827">
      <w:pPr>
        <w:rPr>
          <w:rFonts w:cs="Helvetica"/>
          <w:b/>
          <w:color w:val="8DB3E2" w:themeColor="text2" w:themeTint="66"/>
          <w:szCs w:val="20"/>
        </w:rPr>
      </w:pPr>
    </w:p>
    <w:p w:rsidR="00DF7AD8" w:rsidRPr="008E33DF" w:rsidRDefault="00F62897" w:rsidP="005E7558">
      <w:pPr>
        <w:pStyle w:val="Kop3"/>
      </w:pPr>
      <w:r w:rsidRPr="008E33DF">
        <w:rPr>
          <w:noProof/>
          <w:lang w:eastAsia="nl-NL"/>
        </w:rPr>
        <w:lastRenderedPageBreak/>
        <w:drawing>
          <wp:anchor distT="0" distB="0" distL="114300" distR="114300" simplePos="0" relativeHeight="251666432" behindDoc="0" locked="0" layoutInCell="1" allowOverlap="1">
            <wp:simplePos x="0" y="0"/>
            <wp:positionH relativeFrom="column">
              <wp:posOffset>2854492</wp:posOffset>
            </wp:positionH>
            <wp:positionV relativeFrom="paragraph">
              <wp:posOffset>144001</wp:posOffset>
            </wp:positionV>
            <wp:extent cx="3013375" cy="2691442"/>
            <wp:effectExtent l="0" t="0" r="0" b="0"/>
            <wp:wrapNone/>
            <wp:docPr id="1"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40" w:name="_Toc454253669"/>
      <w:r w:rsidR="0026539C" w:rsidRPr="008E33DF">
        <w:t>5.2.1</w:t>
      </w:r>
      <w:r w:rsidR="008E33DF">
        <w:t xml:space="preserve"> </w:t>
      </w:r>
      <w:r w:rsidR="00880827" w:rsidRPr="008E33DF">
        <w:t>Afgewezen uitspraken</w:t>
      </w:r>
      <w:bookmarkEnd w:id="40"/>
    </w:p>
    <w:p w:rsidR="00CC123B" w:rsidRPr="008E33DF" w:rsidRDefault="00C25C96" w:rsidP="00CC123B">
      <w:pPr>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color w:val="000000"/>
          <w:sz w:val="16"/>
          <w:szCs w:val="16"/>
          <w:lang w:eastAsia="nl-NL"/>
        </w:rPr>
        <w:t>Tabel 3, a</w:t>
      </w:r>
      <w:r w:rsidR="00CE6040" w:rsidRPr="008E33DF">
        <w:rPr>
          <w:rFonts w:ascii="Calibri" w:eastAsia="Times New Roman" w:hAnsi="Calibri" w:cs="Times New Roman"/>
          <w:b/>
          <w:bCs/>
          <w:color w:val="000000"/>
          <w:sz w:val="16"/>
          <w:szCs w:val="16"/>
          <w:lang w:eastAsia="nl-NL"/>
        </w:rPr>
        <w:t xml:space="preserve">ard van </w:t>
      </w:r>
      <w:r w:rsidR="009E6B0D" w:rsidRPr="008E33DF">
        <w:rPr>
          <w:rFonts w:ascii="Calibri" w:eastAsia="Times New Roman" w:hAnsi="Calibri" w:cs="Times New Roman"/>
          <w:b/>
          <w:bCs/>
          <w:color w:val="000000"/>
          <w:sz w:val="16"/>
          <w:szCs w:val="16"/>
          <w:lang w:eastAsia="nl-NL"/>
        </w:rPr>
        <w:t>het gehuurde</w:t>
      </w:r>
      <w:r w:rsidR="00CC123B" w:rsidRPr="008E33DF">
        <w:rPr>
          <w:rFonts w:ascii="Calibri" w:eastAsia="Times New Roman" w:hAnsi="Calibri" w:cs="Times New Roman"/>
          <w:b/>
          <w:bCs/>
          <w:color w:val="000000"/>
          <w:sz w:val="16"/>
          <w:szCs w:val="16"/>
          <w:lang w:eastAsia="nl-NL"/>
        </w:rPr>
        <w:t>, feiten en omstandigheden,</w:t>
      </w:r>
    </w:p>
    <w:p w:rsidR="00CE6040" w:rsidRPr="008E33DF" w:rsidRDefault="00CE6040" w:rsidP="00CC123B">
      <w:pPr>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color w:val="000000"/>
          <w:sz w:val="16"/>
          <w:szCs w:val="16"/>
          <w:lang w:eastAsia="nl-NL"/>
        </w:rPr>
        <w:t>beroep op a</w:t>
      </w:r>
      <w:r w:rsidR="00CC123B" w:rsidRPr="008E33DF">
        <w:rPr>
          <w:rFonts w:ascii="Calibri" w:eastAsia="Times New Roman" w:hAnsi="Calibri" w:cs="Times New Roman"/>
          <w:b/>
          <w:bCs/>
          <w:color w:val="000000"/>
          <w:sz w:val="16"/>
          <w:szCs w:val="16"/>
          <w:lang w:eastAsia="nl-NL"/>
        </w:rPr>
        <w:t>rt. 7:232 lid 2</w:t>
      </w:r>
      <w:r w:rsidR="00F26BCD" w:rsidRPr="008E33DF">
        <w:rPr>
          <w:rFonts w:ascii="Calibri" w:eastAsia="Times New Roman" w:hAnsi="Calibri" w:cs="Times New Roman"/>
          <w:b/>
          <w:bCs/>
          <w:color w:val="000000"/>
          <w:sz w:val="16"/>
          <w:szCs w:val="16"/>
          <w:lang w:eastAsia="nl-NL"/>
        </w:rPr>
        <w:t xml:space="preserve"> BW </w:t>
      </w:r>
      <w:r w:rsidR="00CC123B" w:rsidRPr="008E33DF">
        <w:rPr>
          <w:rFonts w:ascii="Calibri" w:eastAsia="Times New Roman" w:hAnsi="Calibri" w:cs="Times New Roman"/>
          <w:b/>
          <w:bCs/>
          <w:color w:val="000000"/>
          <w:sz w:val="16"/>
          <w:szCs w:val="16"/>
          <w:lang w:eastAsia="nl-NL"/>
        </w:rPr>
        <w:t xml:space="preserve"> wordt afgewezen (zie ook bijlage </w:t>
      </w:r>
      <w:r w:rsidR="009A33B1" w:rsidRPr="008E33DF">
        <w:rPr>
          <w:rFonts w:ascii="Calibri" w:eastAsia="Times New Roman" w:hAnsi="Calibri" w:cs="Times New Roman"/>
          <w:b/>
          <w:bCs/>
          <w:color w:val="000000"/>
          <w:sz w:val="16"/>
          <w:szCs w:val="16"/>
          <w:lang w:eastAsia="nl-NL"/>
        </w:rPr>
        <w:t>3</w:t>
      </w:r>
      <w:r w:rsidR="00CC123B" w:rsidRPr="008E33DF">
        <w:rPr>
          <w:rFonts w:ascii="Calibri" w:eastAsia="Times New Roman" w:hAnsi="Calibri" w:cs="Times New Roman"/>
          <w:b/>
          <w:bCs/>
          <w:color w:val="000000"/>
          <w:sz w:val="16"/>
          <w:szCs w:val="16"/>
          <w:lang w:eastAsia="nl-NL"/>
        </w:rPr>
        <w:t>)</w:t>
      </w:r>
      <w:r w:rsidRPr="008E33DF">
        <w:rPr>
          <w:rFonts w:ascii="Calibri" w:eastAsia="Times New Roman" w:hAnsi="Calibri" w:cs="Times New Roman"/>
          <w:b/>
          <w:bCs/>
          <w:color w:val="000000"/>
          <w:sz w:val="16"/>
          <w:szCs w:val="16"/>
          <w:lang w:eastAsia="nl-NL"/>
        </w:rPr>
        <w:t>.</w:t>
      </w:r>
    </w:p>
    <w:tbl>
      <w:tblPr>
        <w:tblStyle w:val="Lichtraster1"/>
        <w:tblW w:w="4361" w:type="dxa"/>
        <w:tblInd w:w="108" w:type="dxa"/>
        <w:tblLayout w:type="fixed"/>
        <w:tblLook w:val="04A0"/>
      </w:tblPr>
      <w:tblGrid>
        <w:gridCol w:w="959"/>
        <w:gridCol w:w="680"/>
        <w:gridCol w:w="680"/>
        <w:gridCol w:w="680"/>
        <w:gridCol w:w="680"/>
        <w:gridCol w:w="682"/>
      </w:tblGrid>
      <w:tr w:rsidR="00CE6040" w:rsidRPr="008E33DF" w:rsidTr="00CE6040">
        <w:trPr>
          <w:cnfStyle w:val="100000000000"/>
        </w:trPr>
        <w:tc>
          <w:tcPr>
            <w:cnfStyle w:val="001000000000"/>
            <w:tcW w:w="4361" w:type="dxa"/>
            <w:gridSpan w:val="6"/>
            <w:vAlign w:val="bottom"/>
          </w:tcPr>
          <w:p w:rsidR="00CE6040" w:rsidRPr="008E33DF" w:rsidRDefault="00CE6040" w:rsidP="00CC123B">
            <w:pPr>
              <w:jc w:val="center"/>
              <w:rPr>
                <w:rFonts w:asciiTheme="minorHAnsi" w:eastAsia="Times New Roman" w:hAnsiTheme="minorHAnsi" w:cs="Times New Roman"/>
                <w:bCs w:val="0"/>
                <w:color w:val="000000"/>
                <w:szCs w:val="20"/>
                <w:lang w:eastAsia="nl-NL"/>
              </w:rPr>
            </w:pPr>
            <w:r w:rsidRPr="008E33DF">
              <w:rPr>
                <w:rFonts w:asciiTheme="minorHAnsi" w:eastAsia="Times New Roman" w:hAnsiTheme="minorHAnsi" w:cs="Times New Roman"/>
                <w:bCs w:val="0"/>
                <w:color w:val="000000"/>
                <w:szCs w:val="20"/>
                <w:lang w:eastAsia="nl-NL"/>
              </w:rPr>
              <w:t>Categorieën</w:t>
            </w:r>
          </w:p>
        </w:tc>
      </w:tr>
      <w:tr w:rsidR="00CE6040" w:rsidRPr="008E33DF" w:rsidTr="00CE6040">
        <w:trPr>
          <w:cnfStyle w:val="000000100000"/>
        </w:trPr>
        <w:tc>
          <w:tcPr>
            <w:cnfStyle w:val="001000000000"/>
            <w:tcW w:w="959" w:type="dxa"/>
            <w:tcBorders>
              <w:bottom w:val="single" w:sz="18" w:space="0" w:color="000000" w:themeColor="text1"/>
            </w:tcBorders>
            <w:shd w:val="clear" w:color="auto" w:fill="auto"/>
            <w:vAlign w:val="bottom"/>
          </w:tcPr>
          <w:p w:rsidR="00CE6040" w:rsidRPr="008E33DF" w:rsidRDefault="00CE6040" w:rsidP="0068281B">
            <w:pPr>
              <w:spacing w:line="240" w:lineRule="auto"/>
              <w:jc w:val="center"/>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Nummers uitspraken</w:t>
            </w:r>
          </w:p>
        </w:tc>
        <w:tc>
          <w:tcPr>
            <w:tcW w:w="680" w:type="dxa"/>
            <w:tcBorders>
              <w:bottom w:val="single" w:sz="18" w:space="0" w:color="000000" w:themeColor="text1"/>
            </w:tcBorders>
            <w:shd w:val="clear" w:color="auto" w:fill="943634" w:themeFill="accent2" w:themeFillShade="BF"/>
            <w:vAlign w:val="center"/>
          </w:tcPr>
          <w:p w:rsidR="00CE6040" w:rsidRPr="008E33DF" w:rsidRDefault="00CE6040" w:rsidP="0068281B">
            <w:pPr>
              <w:spacing w:line="240" w:lineRule="auto"/>
              <w:jc w:val="center"/>
              <w:cnfStyle w:val="000000100000"/>
              <w:rPr>
                <w:rFonts w:asciiTheme="minorHAnsi" w:eastAsia="Times New Roman" w:hAnsiTheme="minorHAnsi" w:cs="Times New Roman"/>
                <w:color w:val="0F253F"/>
                <w:sz w:val="12"/>
                <w:szCs w:val="12"/>
                <w:lang w:eastAsia="nl-NL"/>
              </w:rPr>
            </w:pPr>
          </w:p>
        </w:tc>
        <w:tc>
          <w:tcPr>
            <w:tcW w:w="680" w:type="dxa"/>
            <w:tcBorders>
              <w:bottom w:val="single" w:sz="18" w:space="0" w:color="000000" w:themeColor="text1"/>
            </w:tcBorders>
            <w:shd w:val="clear" w:color="auto" w:fill="17365D" w:themeFill="text2" w:themeFillShade="BF"/>
            <w:vAlign w:val="center"/>
          </w:tcPr>
          <w:p w:rsidR="00CE6040" w:rsidRPr="008E33DF" w:rsidRDefault="00CE6040" w:rsidP="0068281B">
            <w:pPr>
              <w:spacing w:line="240" w:lineRule="auto"/>
              <w:jc w:val="center"/>
              <w:cnfStyle w:val="000000100000"/>
              <w:rPr>
                <w:rFonts w:asciiTheme="minorHAnsi" w:eastAsia="Times New Roman" w:hAnsiTheme="minorHAnsi" w:cs="Times New Roman"/>
                <w:color w:val="4F6228"/>
                <w:sz w:val="12"/>
                <w:szCs w:val="12"/>
                <w:lang w:eastAsia="nl-NL"/>
              </w:rPr>
            </w:pPr>
          </w:p>
        </w:tc>
        <w:tc>
          <w:tcPr>
            <w:tcW w:w="680" w:type="dxa"/>
            <w:tcBorders>
              <w:bottom w:val="single" w:sz="18" w:space="0" w:color="000000" w:themeColor="text1"/>
            </w:tcBorders>
            <w:shd w:val="clear" w:color="auto" w:fill="E36C0A" w:themeFill="accent6" w:themeFillShade="BF"/>
            <w:vAlign w:val="center"/>
          </w:tcPr>
          <w:p w:rsidR="00CE6040" w:rsidRPr="008E33DF" w:rsidRDefault="00CE6040" w:rsidP="0068281B">
            <w:pPr>
              <w:spacing w:line="240" w:lineRule="auto"/>
              <w:jc w:val="center"/>
              <w:cnfStyle w:val="000000100000"/>
              <w:rPr>
                <w:rFonts w:asciiTheme="minorHAnsi" w:eastAsia="Times New Roman" w:hAnsiTheme="minorHAnsi" w:cs="Times New Roman"/>
                <w:color w:val="974807"/>
                <w:sz w:val="12"/>
                <w:szCs w:val="12"/>
                <w:lang w:eastAsia="nl-NL"/>
              </w:rPr>
            </w:pPr>
          </w:p>
        </w:tc>
        <w:tc>
          <w:tcPr>
            <w:tcW w:w="680" w:type="dxa"/>
            <w:tcBorders>
              <w:bottom w:val="single" w:sz="18" w:space="0" w:color="000000" w:themeColor="text1"/>
            </w:tcBorders>
            <w:shd w:val="clear" w:color="auto" w:fill="31849B" w:themeFill="accent5" w:themeFillShade="BF"/>
            <w:vAlign w:val="center"/>
          </w:tcPr>
          <w:p w:rsidR="00CE6040" w:rsidRPr="008E33DF" w:rsidRDefault="00CE6040" w:rsidP="0068281B">
            <w:pPr>
              <w:spacing w:line="240" w:lineRule="auto"/>
              <w:jc w:val="center"/>
              <w:cnfStyle w:val="000000100000"/>
              <w:rPr>
                <w:rFonts w:asciiTheme="minorHAnsi" w:eastAsia="Times New Roman" w:hAnsiTheme="minorHAnsi" w:cs="Times New Roman"/>
                <w:color w:val="FF0000"/>
                <w:sz w:val="12"/>
                <w:szCs w:val="12"/>
                <w:lang w:eastAsia="nl-NL"/>
              </w:rPr>
            </w:pPr>
          </w:p>
        </w:tc>
        <w:tc>
          <w:tcPr>
            <w:tcW w:w="682" w:type="dxa"/>
            <w:tcBorders>
              <w:bottom w:val="single" w:sz="18" w:space="0" w:color="000000" w:themeColor="text1"/>
            </w:tcBorders>
            <w:shd w:val="clear" w:color="auto" w:fill="auto"/>
            <w:vAlign w:val="bottom"/>
          </w:tcPr>
          <w:p w:rsidR="00CE6040" w:rsidRPr="008E33DF" w:rsidRDefault="00CE6040" w:rsidP="0068281B">
            <w:pPr>
              <w:spacing w:line="240" w:lineRule="auto"/>
              <w:jc w:val="center"/>
              <w:cnfStyle w:val="000000100000"/>
              <w:rPr>
                <w:rFonts w:asciiTheme="minorHAnsi" w:hAnsiTheme="minorHAnsi"/>
                <w:sz w:val="12"/>
                <w:szCs w:val="12"/>
              </w:rPr>
            </w:pPr>
          </w:p>
        </w:tc>
      </w:tr>
      <w:tr w:rsidR="00CE6040" w:rsidRPr="008E33DF" w:rsidTr="00CE6040">
        <w:trPr>
          <w:cnfStyle w:val="000000010000"/>
        </w:trPr>
        <w:tc>
          <w:tcPr>
            <w:cnfStyle w:val="001000000000"/>
            <w:tcW w:w="959" w:type="dxa"/>
            <w:tcBorders>
              <w:top w:val="single" w:sz="18" w:space="0" w:color="000000" w:themeColor="text1"/>
              <w:bottom w:val="dotted" w:sz="4" w:space="0" w:color="auto"/>
              <w:right w:val="dotted" w:sz="4" w:space="0" w:color="auto"/>
            </w:tcBorders>
            <w:vAlign w:val="center"/>
          </w:tcPr>
          <w:p w:rsidR="00CE6040" w:rsidRPr="008E33DF" w:rsidRDefault="00CE6040" w:rsidP="0068281B">
            <w:pPr>
              <w:spacing w:line="240" w:lineRule="auto"/>
              <w:jc w:val="center"/>
              <w:rPr>
                <w:rFonts w:asciiTheme="minorHAnsi" w:hAnsiTheme="minorHAnsi"/>
                <w:sz w:val="12"/>
                <w:szCs w:val="12"/>
              </w:rPr>
            </w:pPr>
            <w:r w:rsidRPr="008E33DF">
              <w:rPr>
                <w:rFonts w:asciiTheme="minorHAnsi" w:hAnsiTheme="minorHAnsi"/>
                <w:sz w:val="12"/>
                <w:szCs w:val="12"/>
              </w:rPr>
              <w:t>1</w:t>
            </w:r>
          </w:p>
        </w:tc>
        <w:tc>
          <w:tcPr>
            <w:tcW w:w="680" w:type="dxa"/>
            <w:tcBorders>
              <w:top w:val="single" w:sz="18" w:space="0" w:color="000000" w:themeColor="text1"/>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680" w:type="dxa"/>
            <w:tcBorders>
              <w:top w:val="single" w:sz="18" w:space="0" w:color="000000" w:themeColor="text1"/>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0" w:type="dxa"/>
            <w:tcBorders>
              <w:top w:val="single" w:sz="18" w:space="0" w:color="000000" w:themeColor="text1"/>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0" w:type="dxa"/>
            <w:tcBorders>
              <w:top w:val="single" w:sz="18" w:space="0" w:color="000000" w:themeColor="text1"/>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2" w:type="dxa"/>
            <w:tcBorders>
              <w:top w:val="single" w:sz="18" w:space="0" w:color="000000" w:themeColor="text1"/>
              <w:left w:val="single" w:sz="18" w:space="0" w:color="000000" w:themeColor="text1"/>
              <w:bottom w:val="dotted" w:sz="4" w:space="0" w:color="auto"/>
              <w:right w:val="single" w:sz="18" w:space="0" w:color="000000" w:themeColor="text1"/>
            </w:tcBorders>
            <w:vAlign w:val="center"/>
          </w:tcPr>
          <w:p w:rsidR="00CE6040" w:rsidRPr="008E33DF" w:rsidRDefault="00CE6040" w:rsidP="0068281B">
            <w:pPr>
              <w:spacing w:line="240" w:lineRule="auto"/>
              <w:jc w:val="center"/>
              <w:cnfStyle w:val="000000010000"/>
              <w:rPr>
                <w:rFonts w:asciiTheme="minorHAnsi" w:hAnsiTheme="minorHAnsi"/>
                <w:b/>
                <w:sz w:val="12"/>
                <w:szCs w:val="12"/>
              </w:rPr>
            </w:pPr>
          </w:p>
        </w:tc>
      </w:tr>
      <w:tr w:rsidR="00CE6040" w:rsidRPr="008E33DF" w:rsidTr="00CE6040">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rPr>
                <w:rFonts w:asciiTheme="minorHAnsi" w:hAnsiTheme="minorHAnsi"/>
                <w:sz w:val="12"/>
                <w:szCs w:val="12"/>
              </w:rPr>
            </w:pPr>
            <w:r w:rsidRPr="008E33DF">
              <w:rPr>
                <w:rFonts w:asciiTheme="minorHAnsi" w:hAnsiTheme="minorHAnsi"/>
                <w:sz w:val="12"/>
                <w:szCs w:val="12"/>
              </w:rPr>
              <w:t>6</w:t>
            </w:r>
          </w:p>
        </w:tc>
        <w:tc>
          <w:tcPr>
            <w:tcW w:w="680"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2" w:type="dxa"/>
            <w:tcBorders>
              <w:top w:val="dotted" w:sz="4" w:space="0" w:color="auto"/>
              <w:left w:val="single" w:sz="18" w:space="0" w:color="000000" w:themeColor="text1"/>
              <w:bottom w:val="dotted" w:sz="4" w:space="0" w:color="auto"/>
              <w:right w:val="single" w:sz="18" w:space="0" w:color="000000" w:themeColor="text1"/>
            </w:tcBorders>
            <w:vAlign w:val="center"/>
          </w:tcPr>
          <w:p w:rsidR="00CE6040" w:rsidRPr="008E33DF" w:rsidRDefault="00CE6040" w:rsidP="0068281B">
            <w:pPr>
              <w:spacing w:line="240" w:lineRule="auto"/>
              <w:jc w:val="center"/>
              <w:cnfStyle w:val="000000100000"/>
              <w:rPr>
                <w:rFonts w:asciiTheme="minorHAnsi" w:hAnsiTheme="minorHAnsi"/>
                <w:b/>
                <w:sz w:val="12"/>
                <w:szCs w:val="12"/>
              </w:rPr>
            </w:pPr>
          </w:p>
        </w:tc>
      </w:tr>
      <w:tr w:rsidR="00CE6040" w:rsidRPr="008E33DF" w:rsidTr="00CE6040">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rPr>
                <w:rFonts w:asciiTheme="minorHAnsi" w:hAnsiTheme="minorHAnsi"/>
                <w:sz w:val="12"/>
                <w:szCs w:val="12"/>
              </w:rPr>
            </w:pPr>
            <w:r w:rsidRPr="008E33DF">
              <w:rPr>
                <w:rFonts w:asciiTheme="minorHAnsi" w:hAnsiTheme="minorHAnsi"/>
                <w:sz w:val="12"/>
                <w:szCs w:val="12"/>
              </w:rPr>
              <w:t>11</w:t>
            </w:r>
          </w:p>
        </w:tc>
        <w:tc>
          <w:tcPr>
            <w:tcW w:w="680"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2" w:type="dxa"/>
            <w:tcBorders>
              <w:top w:val="dotted" w:sz="4" w:space="0" w:color="auto"/>
              <w:left w:val="single" w:sz="18" w:space="0" w:color="000000" w:themeColor="text1"/>
              <w:bottom w:val="dotted" w:sz="4" w:space="0" w:color="auto"/>
              <w:right w:val="single" w:sz="18" w:space="0" w:color="000000" w:themeColor="text1"/>
            </w:tcBorders>
            <w:vAlign w:val="center"/>
          </w:tcPr>
          <w:p w:rsidR="00CE6040" w:rsidRPr="008E33DF" w:rsidRDefault="00CE6040" w:rsidP="0068281B">
            <w:pPr>
              <w:spacing w:line="240" w:lineRule="auto"/>
              <w:jc w:val="center"/>
              <w:cnfStyle w:val="000000010000"/>
              <w:rPr>
                <w:rFonts w:asciiTheme="minorHAnsi" w:hAnsiTheme="minorHAnsi"/>
                <w:b/>
                <w:sz w:val="12"/>
                <w:szCs w:val="12"/>
              </w:rPr>
            </w:pPr>
          </w:p>
        </w:tc>
      </w:tr>
      <w:tr w:rsidR="00CE6040" w:rsidRPr="008E33DF" w:rsidTr="00CE6040">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rPr>
                <w:rFonts w:asciiTheme="minorHAnsi" w:hAnsiTheme="minorHAnsi"/>
                <w:sz w:val="12"/>
                <w:szCs w:val="12"/>
              </w:rPr>
            </w:pPr>
            <w:r w:rsidRPr="008E33DF">
              <w:rPr>
                <w:rFonts w:asciiTheme="minorHAnsi" w:hAnsiTheme="minorHAnsi"/>
                <w:sz w:val="12"/>
                <w:szCs w:val="12"/>
              </w:rPr>
              <w:t>15</w:t>
            </w:r>
          </w:p>
        </w:tc>
        <w:tc>
          <w:tcPr>
            <w:tcW w:w="680"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2" w:type="dxa"/>
            <w:tcBorders>
              <w:top w:val="dotted" w:sz="4" w:space="0" w:color="auto"/>
              <w:left w:val="single" w:sz="18" w:space="0" w:color="000000" w:themeColor="text1"/>
              <w:bottom w:val="dotted" w:sz="4" w:space="0" w:color="auto"/>
              <w:right w:val="single" w:sz="18" w:space="0" w:color="000000" w:themeColor="text1"/>
            </w:tcBorders>
            <w:vAlign w:val="center"/>
          </w:tcPr>
          <w:p w:rsidR="00CE6040" w:rsidRPr="008E33DF" w:rsidRDefault="00CE6040" w:rsidP="0068281B">
            <w:pPr>
              <w:spacing w:line="240" w:lineRule="auto"/>
              <w:jc w:val="center"/>
              <w:cnfStyle w:val="000000100000"/>
              <w:rPr>
                <w:rFonts w:asciiTheme="minorHAnsi" w:hAnsiTheme="minorHAnsi"/>
                <w:b/>
                <w:sz w:val="12"/>
                <w:szCs w:val="12"/>
              </w:rPr>
            </w:pPr>
          </w:p>
        </w:tc>
      </w:tr>
      <w:tr w:rsidR="00CE6040" w:rsidRPr="008E33DF" w:rsidTr="00CE6040">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rPr>
                <w:rFonts w:asciiTheme="minorHAnsi" w:hAnsiTheme="minorHAnsi"/>
                <w:sz w:val="12"/>
                <w:szCs w:val="12"/>
              </w:rPr>
            </w:pPr>
            <w:r w:rsidRPr="008E33DF">
              <w:rPr>
                <w:rFonts w:asciiTheme="minorHAnsi" w:hAnsiTheme="minorHAnsi"/>
                <w:sz w:val="12"/>
                <w:szCs w:val="12"/>
              </w:rPr>
              <w:t>18</w:t>
            </w:r>
          </w:p>
        </w:tc>
        <w:tc>
          <w:tcPr>
            <w:tcW w:w="680"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2" w:type="dxa"/>
            <w:tcBorders>
              <w:top w:val="dotted" w:sz="4" w:space="0" w:color="auto"/>
              <w:left w:val="single" w:sz="18" w:space="0" w:color="000000" w:themeColor="text1"/>
              <w:bottom w:val="dotted" w:sz="4" w:space="0" w:color="auto"/>
              <w:right w:val="single" w:sz="18" w:space="0" w:color="000000" w:themeColor="text1"/>
            </w:tcBorders>
            <w:vAlign w:val="center"/>
          </w:tcPr>
          <w:p w:rsidR="00CE6040" w:rsidRPr="008E33DF" w:rsidRDefault="00CE6040" w:rsidP="0068281B">
            <w:pPr>
              <w:spacing w:line="240" w:lineRule="auto"/>
              <w:jc w:val="center"/>
              <w:cnfStyle w:val="000000010000"/>
              <w:rPr>
                <w:rFonts w:asciiTheme="minorHAnsi" w:hAnsiTheme="minorHAnsi"/>
                <w:b/>
                <w:sz w:val="12"/>
                <w:szCs w:val="12"/>
              </w:rPr>
            </w:pPr>
          </w:p>
        </w:tc>
      </w:tr>
      <w:tr w:rsidR="00CE6040" w:rsidRPr="008E33DF" w:rsidTr="00CE6040">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rPr>
                <w:rFonts w:asciiTheme="minorHAnsi" w:hAnsiTheme="minorHAnsi"/>
                <w:sz w:val="12"/>
                <w:szCs w:val="12"/>
              </w:rPr>
            </w:pPr>
            <w:r w:rsidRPr="008E33DF">
              <w:rPr>
                <w:rFonts w:asciiTheme="minorHAnsi" w:hAnsiTheme="minorHAnsi"/>
                <w:sz w:val="12"/>
                <w:szCs w:val="12"/>
              </w:rPr>
              <w:t>24</w:t>
            </w:r>
          </w:p>
        </w:tc>
        <w:tc>
          <w:tcPr>
            <w:tcW w:w="680"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2" w:type="dxa"/>
            <w:tcBorders>
              <w:top w:val="dotted" w:sz="4" w:space="0" w:color="auto"/>
              <w:left w:val="single" w:sz="18" w:space="0" w:color="000000" w:themeColor="text1"/>
              <w:bottom w:val="dotted" w:sz="4" w:space="0" w:color="auto"/>
              <w:right w:val="single" w:sz="18" w:space="0" w:color="000000" w:themeColor="text1"/>
            </w:tcBorders>
            <w:vAlign w:val="center"/>
          </w:tcPr>
          <w:p w:rsidR="00CE6040" w:rsidRPr="008E33DF" w:rsidRDefault="00CE6040" w:rsidP="0068281B">
            <w:pPr>
              <w:spacing w:line="240" w:lineRule="auto"/>
              <w:jc w:val="center"/>
              <w:cnfStyle w:val="000000100000"/>
              <w:rPr>
                <w:rFonts w:asciiTheme="minorHAnsi" w:hAnsiTheme="minorHAnsi"/>
                <w:b/>
                <w:sz w:val="12"/>
                <w:szCs w:val="12"/>
              </w:rPr>
            </w:pPr>
          </w:p>
        </w:tc>
      </w:tr>
      <w:tr w:rsidR="00CE6040" w:rsidRPr="008E33DF" w:rsidTr="00CE6040">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rPr>
                <w:rFonts w:asciiTheme="minorHAnsi" w:hAnsiTheme="minorHAnsi"/>
                <w:sz w:val="12"/>
                <w:szCs w:val="12"/>
              </w:rPr>
            </w:pPr>
            <w:r w:rsidRPr="008E33DF">
              <w:rPr>
                <w:rFonts w:asciiTheme="minorHAnsi" w:hAnsiTheme="minorHAnsi"/>
                <w:sz w:val="12"/>
                <w:szCs w:val="12"/>
              </w:rPr>
              <w:t>26</w:t>
            </w:r>
          </w:p>
        </w:tc>
        <w:tc>
          <w:tcPr>
            <w:tcW w:w="680"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2" w:type="dxa"/>
            <w:tcBorders>
              <w:top w:val="dotted" w:sz="4" w:space="0" w:color="auto"/>
              <w:left w:val="single" w:sz="18" w:space="0" w:color="000000" w:themeColor="text1"/>
              <w:bottom w:val="dotted" w:sz="4" w:space="0" w:color="auto"/>
              <w:right w:val="single" w:sz="18" w:space="0" w:color="000000" w:themeColor="text1"/>
            </w:tcBorders>
            <w:vAlign w:val="center"/>
          </w:tcPr>
          <w:p w:rsidR="00CE6040" w:rsidRPr="008E33DF" w:rsidRDefault="00CE6040" w:rsidP="0068281B">
            <w:pPr>
              <w:spacing w:line="240" w:lineRule="auto"/>
              <w:jc w:val="center"/>
              <w:cnfStyle w:val="000000010000"/>
              <w:rPr>
                <w:rFonts w:asciiTheme="minorHAnsi" w:hAnsiTheme="minorHAnsi"/>
                <w:b/>
                <w:sz w:val="12"/>
                <w:szCs w:val="12"/>
              </w:rPr>
            </w:pPr>
          </w:p>
        </w:tc>
      </w:tr>
      <w:tr w:rsidR="00CE6040" w:rsidRPr="008E33DF" w:rsidTr="00CE6040">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rPr>
                <w:rFonts w:asciiTheme="minorHAnsi" w:hAnsiTheme="minorHAnsi"/>
                <w:sz w:val="12"/>
                <w:szCs w:val="12"/>
              </w:rPr>
            </w:pPr>
            <w:r w:rsidRPr="008E33DF">
              <w:rPr>
                <w:rFonts w:asciiTheme="minorHAnsi" w:hAnsiTheme="minorHAnsi"/>
                <w:sz w:val="12"/>
                <w:szCs w:val="12"/>
              </w:rPr>
              <w:t>27</w:t>
            </w:r>
          </w:p>
        </w:tc>
        <w:tc>
          <w:tcPr>
            <w:tcW w:w="680"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682" w:type="dxa"/>
            <w:tcBorders>
              <w:top w:val="dotted" w:sz="4" w:space="0" w:color="auto"/>
              <w:left w:val="single" w:sz="18" w:space="0" w:color="000000" w:themeColor="text1"/>
              <w:bottom w:val="dotted" w:sz="4" w:space="0" w:color="auto"/>
              <w:right w:val="single" w:sz="18" w:space="0" w:color="000000" w:themeColor="text1"/>
            </w:tcBorders>
            <w:vAlign w:val="center"/>
          </w:tcPr>
          <w:p w:rsidR="00CE6040" w:rsidRPr="008E33DF" w:rsidRDefault="00CE6040" w:rsidP="0068281B">
            <w:pPr>
              <w:spacing w:line="240" w:lineRule="auto"/>
              <w:jc w:val="center"/>
              <w:cnfStyle w:val="000000100000"/>
              <w:rPr>
                <w:rFonts w:asciiTheme="minorHAnsi" w:hAnsiTheme="minorHAnsi"/>
                <w:b/>
                <w:sz w:val="12"/>
                <w:szCs w:val="12"/>
              </w:rPr>
            </w:pPr>
          </w:p>
        </w:tc>
      </w:tr>
      <w:tr w:rsidR="00CE6040" w:rsidRPr="008E33DF" w:rsidTr="00CE6040">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rPr>
                <w:rFonts w:asciiTheme="minorHAnsi" w:hAnsiTheme="minorHAnsi"/>
                <w:sz w:val="12"/>
                <w:szCs w:val="12"/>
              </w:rPr>
            </w:pPr>
            <w:r w:rsidRPr="008E33DF">
              <w:rPr>
                <w:rFonts w:asciiTheme="minorHAnsi" w:hAnsiTheme="minorHAnsi"/>
                <w:sz w:val="12"/>
                <w:szCs w:val="12"/>
              </w:rPr>
              <w:t>30</w:t>
            </w:r>
          </w:p>
        </w:tc>
        <w:tc>
          <w:tcPr>
            <w:tcW w:w="680"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2" w:type="dxa"/>
            <w:tcBorders>
              <w:top w:val="dotted" w:sz="4" w:space="0" w:color="auto"/>
              <w:left w:val="single" w:sz="18" w:space="0" w:color="000000" w:themeColor="text1"/>
              <w:bottom w:val="dotted" w:sz="4" w:space="0" w:color="auto"/>
              <w:right w:val="single" w:sz="18" w:space="0" w:color="000000" w:themeColor="text1"/>
            </w:tcBorders>
            <w:vAlign w:val="center"/>
          </w:tcPr>
          <w:p w:rsidR="00CE6040" w:rsidRPr="008E33DF" w:rsidRDefault="00CE6040" w:rsidP="0068281B">
            <w:pPr>
              <w:spacing w:line="240" w:lineRule="auto"/>
              <w:jc w:val="center"/>
              <w:cnfStyle w:val="000000010000"/>
              <w:rPr>
                <w:rFonts w:asciiTheme="minorHAnsi" w:hAnsiTheme="minorHAnsi"/>
                <w:b/>
                <w:sz w:val="12"/>
                <w:szCs w:val="12"/>
              </w:rPr>
            </w:pPr>
          </w:p>
        </w:tc>
      </w:tr>
      <w:tr w:rsidR="00CE6040" w:rsidRPr="008E33DF" w:rsidTr="00CE6040">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rPr>
                <w:rFonts w:asciiTheme="minorHAnsi" w:hAnsiTheme="minorHAnsi"/>
                <w:sz w:val="12"/>
                <w:szCs w:val="12"/>
              </w:rPr>
            </w:pPr>
            <w:r w:rsidRPr="008E33DF">
              <w:rPr>
                <w:rFonts w:asciiTheme="minorHAnsi" w:hAnsiTheme="minorHAnsi"/>
                <w:sz w:val="12"/>
                <w:szCs w:val="12"/>
              </w:rPr>
              <w:t>32</w:t>
            </w:r>
          </w:p>
        </w:tc>
        <w:tc>
          <w:tcPr>
            <w:tcW w:w="680"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sz w:val="12"/>
                <w:szCs w:val="12"/>
              </w:rPr>
            </w:pPr>
          </w:p>
        </w:tc>
        <w:tc>
          <w:tcPr>
            <w:tcW w:w="682" w:type="dxa"/>
            <w:tcBorders>
              <w:top w:val="dotted" w:sz="4" w:space="0" w:color="auto"/>
              <w:left w:val="single" w:sz="18" w:space="0" w:color="000000" w:themeColor="text1"/>
              <w:bottom w:val="dotted" w:sz="4" w:space="0" w:color="auto"/>
              <w:right w:val="single" w:sz="18" w:space="0" w:color="000000" w:themeColor="text1"/>
            </w:tcBorders>
            <w:vAlign w:val="center"/>
          </w:tcPr>
          <w:p w:rsidR="00CE6040" w:rsidRPr="008E33DF" w:rsidRDefault="00CE6040" w:rsidP="0068281B">
            <w:pPr>
              <w:spacing w:line="240" w:lineRule="auto"/>
              <w:jc w:val="center"/>
              <w:cnfStyle w:val="000000100000"/>
              <w:rPr>
                <w:rFonts w:asciiTheme="minorHAnsi" w:hAnsiTheme="minorHAnsi"/>
                <w:b/>
                <w:sz w:val="12"/>
                <w:szCs w:val="12"/>
              </w:rPr>
            </w:pPr>
          </w:p>
        </w:tc>
      </w:tr>
      <w:tr w:rsidR="00CE6040" w:rsidRPr="008E33DF" w:rsidTr="00CE6040">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rPr>
                <w:rFonts w:asciiTheme="minorHAnsi" w:hAnsiTheme="minorHAnsi"/>
                <w:sz w:val="12"/>
                <w:szCs w:val="12"/>
              </w:rPr>
            </w:pPr>
            <w:r w:rsidRPr="008E33DF">
              <w:rPr>
                <w:rFonts w:asciiTheme="minorHAnsi" w:hAnsiTheme="minorHAnsi"/>
                <w:sz w:val="12"/>
                <w:szCs w:val="12"/>
              </w:rPr>
              <w:t>35</w:t>
            </w:r>
          </w:p>
        </w:tc>
        <w:tc>
          <w:tcPr>
            <w:tcW w:w="680" w:type="dxa"/>
            <w:tcBorders>
              <w:top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CE6040" w:rsidRPr="008E33DF" w:rsidRDefault="00CE6040" w:rsidP="0068281B">
            <w:pPr>
              <w:spacing w:line="240" w:lineRule="auto"/>
              <w:jc w:val="center"/>
              <w:cnfStyle w:val="000000010000"/>
              <w:rPr>
                <w:rFonts w:asciiTheme="minorHAnsi" w:hAnsiTheme="minorHAnsi"/>
                <w:sz w:val="12"/>
                <w:szCs w:val="12"/>
              </w:rPr>
            </w:pPr>
          </w:p>
        </w:tc>
        <w:tc>
          <w:tcPr>
            <w:tcW w:w="682" w:type="dxa"/>
            <w:tcBorders>
              <w:top w:val="dotted" w:sz="4" w:space="0" w:color="auto"/>
              <w:left w:val="single" w:sz="18" w:space="0" w:color="000000" w:themeColor="text1"/>
              <w:bottom w:val="dotted" w:sz="4" w:space="0" w:color="auto"/>
              <w:right w:val="single" w:sz="18" w:space="0" w:color="000000" w:themeColor="text1"/>
            </w:tcBorders>
            <w:vAlign w:val="center"/>
          </w:tcPr>
          <w:p w:rsidR="00CE6040" w:rsidRPr="008E33DF" w:rsidRDefault="00CE6040" w:rsidP="0068281B">
            <w:pPr>
              <w:spacing w:line="240" w:lineRule="auto"/>
              <w:jc w:val="center"/>
              <w:cnfStyle w:val="000000010000"/>
              <w:rPr>
                <w:rFonts w:asciiTheme="minorHAnsi" w:hAnsiTheme="minorHAnsi"/>
                <w:b/>
                <w:sz w:val="12"/>
                <w:szCs w:val="12"/>
              </w:rPr>
            </w:pPr>
          </w:p>
        </w:tc>
      </w:tr>
      <w:tr w:rsidR="00CE6040" w:rsidRPr="008E33DF" w:rsidTr="00CE6040">
        <w:trPr>
          <w:cnfStyle w:val="000000100000"/>
        </w:trPr>
        <w:tc>
          <w:tcPr>
            <w:cnfStyle w:val="001000000000"/>
            <w:tcW w:w="959" w:type="dxa"/>
            <w:tcBorders>
              <w:top w:val="single" w:sz="18" w:space="0" w:color="000000" w:themeColor="text1"/>
              <w:left w:val="single" w:sz="18" w:space="0" w:color="000000" w:themeColor="text1"/>
              <w:bottom w:val="single" w:sz="18" w:space="0" w:color="000000" w:themeColor="text1"/>
              <w:right w:val="dotted" w:sz="4" w:space="0" w:color="auto"/>
            </w:tcBorders>
            <w:vAlign w:val="center"/>
          </w:tcPr>
          <w:p w:rsidR="00CE6040" w:rsidRPr="008E33DF" w:rsidRDefault="00CE6040" w:rsidP="0068281B">
            <w:pPr>
              <w:spacing w:line="240" w:lineRule="auto"/>
              <w:jc w:val="center"/>
              <w:rPr>
                <w:rFonts w:asciiTheme="minorHAnsi" w:hAnsiTheme="minorHAnsi"/>
                <w:sz w:val="12"/>
                <w:szCs w:val="12"/>
              </w:rPr>
            </w:pPr>
            <w:r w:rsidRPr="008E33DF">
              <w:rPr>
                <w:rFonts w:asciiTheme="minorHAnsi" w:hAnsiTheme="minorHAnsi"/>
                <w:sz w:val="12"/>
                <w:szCs w:val="12"/>
              </w:rPr>
              <w:t>12</w:t>
            </w:r>
          </w:p>
        </w:tc>
        <w:tc>
          <w:tcPr>
            <w:tcW w:w="680" w:type="dxa"/>
            <w:tcBorders>
              <w:top w:val="single" w:sz="18" w:space="0" w:color="000000" w:themeColor="text1"/>
              <w:bottom w:val="single" w:sz="18" w:space="0" w:color="000000" w:themeColor="text1"/>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8</w:t>
            </w:r>
          </w:p>
        </w:tc>
        <w:tc>
          <w:tcPr>
            <w:tcW w:w="680" w:type="dxa"/>
            <w:tcBorders>
              <w:top w:val="single" w:sz="18" w:space="0" w:color="000000" w:themeColor="text1"/>
              <w:left w:val="dotted" w:sz="4" w:space="0" w:color="auto"/>
              <w:bottom w:val="single" w:sz="18" w:space="0" w:color="000000" w:themeColor="text1"/>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w:t>
            </w:r>
          </w:p>
        </w:tc>
        <w:tc>
          <w:tcPr>
            <w:tcW w:w="680" w:type="dxa"/>
            <w:tcBorders>
              <w:top w:val="single" w:sz="18" w:space="0" w:color="000000" w:themeColor="text1"/>
              <w:left w:val="dotted" w:sz="4" w:space="0" w:color="auto"/>
              <w:bottom w:val="single" w:sz="18" w:space="0" w:color="000000" w:themeColor="text1"/>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w:t>
            </w:r>
          </w:p>
        </w:tc>
        <w:tc>
          <w:tcPr>
            <w:tcW w:w="680" w:type="dxa"/>
            <w:tcBorders>
              <w:top w:val="single" w:sz="18" w:space="0" w:color="000000" w:themeColor="text1"/>
              <w:left w:val="dotted" w:sz="4" w:space="0" w:color="auto"/>
              <w:bottom w:val="single" w:sz="18" w:space="0" w:color="000000" w:themeColor="text1"/>
              <w:right w:val="dotted" w:sz="4" w:space="0" w:color="auto"/>
            </w:tcBorders>
            <w:vAlign w:val="center"/>
          </w:tcPr>
          <w:p w:rsidR="00CE6040" w:rsidRPr="008E33DF" w:rsidRDefault="00CE6040" w:rsidP="0068281B">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w:t>
            </w:r>
          </w:p>
        </w:tc>
        <w:tc>
          <w:tcPr>
            <w:tcW w:w="682" w:type="dxa"/>
            <w:tcBorders>
              <w:top w:val="single" w:sz="18" w:space="0" w:color="000000" w:themeColor="text1"/>
              <w:left w:val="single" w:sz="18" w:space="0" w:color="000000" w:themeColor="text1"/>
              <w:bottom w:val="single" w:sz="18" w:space="0" w:color="000000" w:themeColor="text1"/>
              <w:right w:val="single" w:sz="12" w:space="0" w:color="000000" w:themeColor="text1"/>
            </w:tcBorders>
            <w:vAlign w:val="center"/>
          </w:tcPr>
          <w:p w:rsidR="00CE6040" w:rsidRPr="008E33DF" w:rsidRDefault="00CE6040" w:rsidP="0068281B">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Totaal</w:t>
            </w:r>
          </w:p>
        </w:tc>
      </w:tr>
      <w:tr w:rsidR="00CE6040" w:rsidRPr="008E33DF" w:rsidTr="00CE6040">
        <w:trPr>
          <w:cnfStyle w:val="000000010000"/>
        </w:trPr>
        <w:tc>
          <w:tcPr>
            <w:cnfStyle w:val="001000000000"/>
            <w:tcW w:w="959" w:type="dxa"/>
            <w:tcBorders>
              <w:top w:val="single" w:sz="18" w:space="0" w:color="000000" w:themeColor="text1"/>
              <w:right w:val="dotted" w:sz="4" w:space="0" w:color="auto"/>
            </w:tcBorders>
            <w:shd w:val="clear" w:color="auto" w:fill="943634" w:themeFill="accent2" w:themeFillShade="BF"/>
            <w:vAlign w:val="center"/>
          </w:tcPr>
          <w:p w:rsidR="00CE6040" w:rsidRPr="008E33DF" w:rsidRDefault="00CE6040" w:rsidP="0068281B">
            <w:pPr>
              <w:spacing w:line="240" w:lineRule="auto"/>
              <w:jc w:val="center"/>
              <w:rPr>
                <w:rFonts w:asciiTheme="minorHAnsi" w:hAnsiTheme="minorHAnsi"/>
                <w:sz w:val="12"/>
                <w:szCs w:val="12"/>
              </w:rPr>
            </w:pPr>
          </w:p>
        </w:tc>
        <w:tc>
          <w:tcPr>
            <w:tcW w:w="3402" w:type="dxa"/>
            <w:gridSpan w:val="5"/>
            <w:tcBorders>
              <w:top w:val="single" w:sz="18" w:space="0" w:color="000000" w:themeColor="text1"/>
            </w:tcBorders>
            <w:shd w:val="clear" w:color="auto" w:fill="auto"/>
            <w:vAlign w:val="bottom"/>
          </w:tcPr>
          <w:p w:rsidR="00CE6040" w:rsidRPr="008E33DF" w:rsidRDefault="00CE6040" w:rsidP="0068281B">
            <w:pPr>
              <w:spacing w:line="240" w:lineRule="auto"/>
              <w:cnfStyle w:val="000000010000"/>
              <w:rPr>
                <w:rFonts w:asciiTheme="minorHAnsi" w:hAnsiTheme="minorHAnsi"/>
                <w:b/>
                <w:sz w:val="12"/>
                <w:szCs w:val="12"/>
              </w:rPr>
            </w:pPr>
            <w:r w:rsidRPr="008E33DF">
              <w:rPr>
                <w:rFonts w:asciiTheme="minorHAnsi" w:hAnsiTheme="minorHAnsi"/>
                <w:b/>
                <w:sz w:val="12"/>
                <w:szCs w:val="12"/>
              </w:rPr>
              <w:t>Geschiktheid van de woonruimte voor permanent verblijf</w:t>
            </w:r>
          </w:p>
        </w:tc>
      </w:tr>
      <w:tr w:rsidR="00CE6040" w:rsidRPr="008E33DF" w:rsidTr="00CE6040">
        <w:trPr>
          <w:cnfStyle w:val="000000100000"/>
        </w:trPr>
        <w:tc>
          <w:tcPr>
            <w:cnfStyle w:val="001000000000"/>
            <w:tcW w:w="959" w:type="dxa"/>
            <w:tcBorders>
              <w:right w:val="dotted" w:sz="4" w:space="0" w:color="auto"/>
            </w:tcBorders>
            <w:shd w:val="clear" w:color="auto" w:fill="17365D" w:themeFill="text2" w:themeFillShade="BF"/>
            <w:vAlign w:val="center"/>
          </w:tcPr>
          <w:p w:rsidR="00CE6040" w:rsidRPr="008E33DF" w:rsidRDefault="00CE6040" w:rsidP="0068281B">
            <w:pPr>
              <w:spacing w:line="240" w:lineRule="auto"/>
              <w:jc w:val="center"/>
              <w:rPr>
                <w:rFonts w:asciiTheme="minorHAnsi" w:hAnsiTheme="minorHAnsi"/>
                <w:sz w:val="12"/>
                <w:szCs w:val="12"/>
              </w:rPr>
            </w:pPr>
          </w:p>
        </w:tc>
        <w:tc>
          <w:tcPr>
            <w:tcW w:w="3402" w:type="dxa"/>
            <w:gridSpan w:val="5"/>
            <w:shd w:val="clear" w:color="auto" w:fill="auto"/>
            <w:vAlign w:val="bottom"/>
          </w:tcPr>
          <w:p w:rsidR="00CE6040" w:rsidRPr="008E33DF" w:rsidRDefault="00CE6040" w:rsidP="0068281B">
            <w:pPr>
              <w:spacing w:line="240" w:lineRule="auto"/>
              <w:cnfStyle w:val="000000100000"/>
              <w:rPr>
                <w:rFonts w:asciiTheme="minorHAnsi" w:hAnsiTheme="minorHAnsi"/>
                <w:b/>
                <w:sz w:val="12"/>
                <w:szCs w:val="12"/>
              </w:rPr>
            </w:pPr>
            <w:r w:rsidRPr="008E33DF">
              <w:rPr>
                <w:rFonts w:asciiTheme="minorHAnsi" w:hAnsiTheme="minorHAnsi"/>
                <w:b/>
                <w:sz w:val="12"/>
                <w:szCs w:val="12"/>
              </w:rPr>
              <w:t>Vergelijking van de woonruimte met een soortgelijke reguliere woning</w:t>
            </w:r>
          </w:p>
        </w:tc>
      </w:tr>
      <w:tr w:rsidR="00CE6040" w:rsidRPr="008E33DF" w:rsidTr="00CE6040">
        <w:trPr>
          <w:cnfStyle w:val="000000010000"/>
        </w:trPr>
        <w:tc>
          <w:tcPr>
            <w:cnfStyle w:val="001000000000"/>
            <w:tcW w:w="959" w:type="dxa"/>
            <w:tcBorders>
              <w:right w:val="dotted" w:sz="4" w:space="0" w:color="auto"/>
            </w:tcBorders>
            <w:shd w:val="clear" w:color="auto" w:fill="E36C0A" w:themeFill="accent6" w:themeFillShade="BF"/>
            <w:vAlign w:val="center"/>
          </w:tcPr>
          <w:p w:rsidR="00CE6040" w:rsidRPr="008E33DF" w:rsidRDefault="00CE6040" w:rsidP="0068281B">
            <w:pPr>
              <w:spacing w:line="240" w:lineRule="auto"/>
              <w:jc w:val="center"/>
              <w:rPr>
                <w:rFonts w:asciiTheme="minorHAnsi" w:hAnsiTheme="minorHAnsi"/>
                <w:sz w:val="12"/>
                <w:szCs w:val="12"/>
              </w:rPr>
            </w:pPr>
          </w:p>
        </w:tc>
        <w:tc>
          <w:tcPr>
            <w:tcW w:w="3402" w:type="dxa"/>
            <w:gridSpan w:val="5"/>
            <w:shd w:val="clear" w:color="auto" w:fill="auto"/>
            <w:vAlign w:val="bottom"/>
          </w:tcPr>
          <w:p w:rsidR="00CE6040" w:rsidRPr="008E33DF" w:rsidRDefault="00CE6040" w:rsidP="0068281B">
            <w:pPr>
              <w:spacing w:line="240" w:lineRule="auto"/>
              <w:cnfStyle w:val="000000010000"/>
              <w:rPr>
                <w:rFonts w:asciiTheme="minorHAnsi" w:hAnsiTheme="minorHAnsi"/>
                <w:b/>
                <w:sz w:val="12"/>
                <w:szCs w:val="12"/>
              </w:rPr>
            </w:pPr>
            <w:r w:rsidRPr="008E33DF">
              <w:rPr>
                <w:rFonts w:asciiTheme="minorHAnsi" w:hAnsiTheme="minorHAnsi"/>
                <w:b/>
                <w:sz w:val="12"/>
                <w:szCs w:val="12"/>
              </w:rPr>
              <w:t>Het zodanig aanmerken van de woonruimte door partijen</w:t>
            </w:r>
          </w:p>
        </w:tc>
      </w:tr>
      <w:tr w:rsidR="00CE6040" w:rsidRPr="008E33DF" w:rsidTr="00CE6040">
        <w:trPr>
          <w:cnfStyle w:val="000000100000"/>
        </w:trPr>
        <w:tc>
          <w:tcPr>
            <w:cnfStyle w:val="001000000000"/>
            <w:tcW w:w="959" w:type="dxa"/>
            <w:tcBorders>
              <w:right w:val="dotted" w:sz="4" w:space="0" w:color="auto"/>
            </w:tcBorders>
            <w:shd w:val="clear" w:color="auto" w:fill="31849B" w:themeFill="accent5" w:themeFillShade="BF"/>
            <w:vAlign w:val="center"/>
          </w:tcPr>
          <w:p w:rsidR="00CE6040" w:rsidRPr="008E33DF" w:rsidRDefault="00CE6040" w:rsidP="0068281B">
            <w:pPr>
              <w:spacing w:line="240" w:lineRule="auto"/>
              <w:jc w:val="center"/>
              <w:rPr>
                <w:rFonts w:asciiTheme="minorHAnsi" w:hAnsiTheme="minorHAnsi"/>
                <w:sz w:val="12"/>
                <w:szCs w:val="12"/>
              </w:rPr>
            </w:pPr>
          </w:p>
        </w:tc>
        <w:tc>
          <w:tcPr>
            <w:tcW w:w="3402" w:type="dxa"/>
            <w:gridSpan w:val="5"/>
            <w:shd w:val="clear" w:color="auto" w:fill="auto"/>
            <w:vAlign w:val="bottom"/>
          </w:tcPr>
          <w:p w:rsidR="00CE6040" w:rsidRPr="008E33DF" w:rsidRDefault="00CE6040" w:rsidP="0068281B">
            <w:pPr>
              <w:spacing w:line="240" w:lineRule="auto"/>
              <w:cnfStyle w:val="000000100000"/>
              <w:rPr>
                <w:rFonts w:asciiTheme="minorHAnsi" w:hAnsiTheme="minorHAnsi"/>
                <w:b/>
                <w:sz w:val="12"/>
                <w:szCs w:val="12"/>
              </w:rPr>
            </w:pPr>
            <w:r w:rsidRPr="008E33DF">
              <w:rPr>
                <w:rFonts w:asciiTheme="minorHAnsi" w:hAnsiTheme="minorHAnsi"/>
                <w:b/>
                <w:sz w:val="12"/>
                <w:szCs w:val="12"/>
              </w:rPr>
              <w:t>Recreatiewoning</w:t>
            </w:r>
          </w:p>
        </w:tc>
      </w:tr>
    </w:tbl>
    <w:p w:rsidR="008D37DC" w:rsidRPr="008E33DF" w:rsidRDefault="008D37DC" w:rsidP="008D37DC">
      <w:pPr>
        <w:spacing w:line="240" w:lineRule="auto"/>
        <w:rPr>
          <w:rFonts w:cs="Helvetica"/>
          <w:b/>
          <w:color w:val="8DB3E2" w:themeColor="text2" w:themeTint="66"/>
        </w:rPr>
      </w:pPr>
    </w:p>
    <w:p w:rsidR="00F161AE" w:rsidRPr="008E33DF" w:rsidRDefault="009E6B0D" w:rsidP="00DF7AD8">
      <w:pPr>
        <w:rPr>
          <w:rFonts w:cs="Helvetica"/>
          <w:szCs w:val="20"/>
        </w:rPr>
      </w:pPr>
      <w:r w:rsidRPr="008E33DF">
        <w:rPr>
          <w:rFonts w:cs="Helvetica"/>
          <w:szCs w:val="20"/>
        </w:rPr>
        <w:t>Tabel 3 bevat de feiten en omstandigheden</w:t>
      </w:r>
      <w:r w:rsidR="00F62897" w:rsidRPr="008E33DF">
        <w:rPr>
          <w:rFonts w:cs="Helvetica"/>
          <w:szCs w:val="20"/>
        </w:rPr>
        <w:t xml:space="preserve"> die van belang zijn voor de rechter bij het toetsen op de aard van het gehuurde</w:t>
      </w:r>
      <w:r w:rsidRPr="008E33DF">
        <w:rPr>
          <w:rFonts w:cs="Helvetica"/>
          <w:szCs w:val="20"/>
        </w:rPr>
        <w:t xml:space="preserve"> van de uitspraken waarbij het beroep op art. 7:232 lid 2 </w:t>
      </w:r>
      <w:r w:rsidR="009A33B1" w:rsidRPr="008E33DF">
        <w:rPr>
          <w:rFonts w:cs="Helvetica"/>
          <w:szCs w:val="20"/>
        </w:rPr>
        <w:t xml:space="preserve">BW </w:t>
      </w:r>
      <w:r w:rsidRPr="008E33DF">
        <w:rPr>
          <w:rFonts w:cs="Helvetica"/>
          <w:szCs w:val="20"/>
        </w:rPr>
        <w:t xml:space="preserve">wordt afgewezen. </w:t>
      </w:r>
      <w:r w:rsidR="00F161AE" w:rsidRPr="008E33DF">
        <w:rPr>
          <w:rFonts w:cs="Helvetica"/>
          <w:szCs w:val="20"/>
        </w:rPr>
        <w:t>Het eerste wat opvalt bij</w:t>
      </w:r>
      <w:r w:rsidR="009F50D1" w:rsidRPr="008E33DF">
        <w:rPr>
          <w:rFonts w:cs="Helvetica"/>
          <w:szCs w:val="20"/>
        </w:rPr>
        <w:t xml:space="preserve"> t</w:t>
      </w:r>
      <w:r w:rsidR="008D37DC" w:rsidRPr="008E33DF">
        <w:rPr>
          <w:rFonts w:cs="Helvetica"/>
          <w:szCs w:val="20"/>
        </w:rPr>
        <w:t>abel 3</w:t>
      </w:r>
      <w:r w:rsidR="009F50D1" w:rsidRPr="008E33DF">
        <w:rPr>
          <w:rFonts w:cs="Helvetica"/>
          <w:szCs w:val="20"/>
        </w:rPr>
        <w:t>,</w:t>
      </w:r>
      <w:r w:rsidR="008D37DC" w:rsidRPr="008E33DF">
        <w:rPr>
          <w:rFonts w:cs="Helvetica"/>
          <w:szCs w:val="20"/>
        </w:rPr>
        <w:t xml:space="preserve"> is dat de rechter</w:t>
      </w:r>
      <w:r w:rsidR="00F161AE" w:rsidRPr="008E33DF">
        <w:rPr>
          <w:rFonts w:cs="Helvetica"/>
          <w:szCs w:val="20"/>
        </w:rPr>
        <w:t xml:space="preserve"> bij de toetsing op </w:t>
      </w:r>
      <w:r w:rsidR="009A33B1" w:rsidRPr="008E33DF">
        <w:rPr>
          <w:rFonts w:cs="Helvetica"/>
          <w:szCs w:val="20"/>
        </w:rPr>
        <w:t>de aard van het gehuurde</w:t>
      </w:r>
      <w:r w:rsidR="008D37DC" w:rsidRPr="008E33DF">
        <w:rPr>
          <w:rFonts w:cs="Helvetica"/>
          <w:szCs w:val="20"/>
        </w:rPr>
        <w:t xml:space="preserve"> vooral kijkt naar </w:t>
      </w:r>
      <w:r w:rsidR="008D37DC" w:rsidRPr="008E33DF">
        <w:rPr>
          <w:rFonts w:cs="Helvetica"/>
          <w:b/>
          <w:szCs w:val="20"/>
        </w:rPr>
        <w:t>de geschiktheid van de woonruimte voor per</w:t>
      </w:r>
      <w:bookmarkStart w:id="41" w:name="_GoBack"/>
      <w:bookmarkEnd w:id="41"/>
      <w:r w:rsidR="008D37DC" w:rsidRPr="008E33DF">
        <w:rPr>
          <w:rFonts w:cs="Helvetica"/>
          <w:b/>
          <w:szCs w:val="20"/>
        </w:rPr>
        <w:t>manent verblijf</w:t>
      </w:r>
      <w:r w:rsidR="008D37DC" w:rsidRPr="008E33DF">
        <w:rPr>
          <w:rFonts w:cs="Helvetica"/>
          <w:szCs w:val="20"/>
        </w:rPr>
        <w:t xml:space="preserve">, namelijk in </w:t>
      </w:r>
      <w:r w:rsidR="00397DED" w:rsidRPr="008E33DF">
        <w:rPr>
          <w:rFonts w:cs="Helvetica"/>
          <w:szCs w:val="20"/>
        </w:rPr>
        <w:t>acht</w:t>
      </w:r>
      <w:r w:rsidR="008D37DC" w:rsidRPr="008E33DF">
        <w:rPr>
          <w:rFonts w:cs="Helvetica"/>
          <w:szCs w:val="20"/>
        </w:rPr>
        <w:t xml:space="preserve"> van de </w:t>
      </w:r>
      <w:r w:rsidR="00397DED" w:rsidRPr="008E33DF">
        <w:rPr>
          <w:rFonts w:cs="Helvetica"/>
          <w:szCs w:val="20"/>
        </w:rPr>
        <w:t>twaalf</w:t>
      </w:r>
      <w:r w:rsidR="008D37DC" w:rsidRPr="008E33DF">
        <w:rPr>
          <w:rFonts w:cs="Helvetica"/>
          <w:szCs w:val="20"/>
        </w:rPr>
        <w:t xml:space="preserve"> uitspraken. </w:t>
      </w:r>
      <w:r w:rsidR="009A33B1" w:rsidRPr="008E33DF">
        <w:rPr>
          <w:rFonts w:cs="Helvetica"/>
          <w:szCs w:val="20"/>
        </w:rPr>
        <w:t xml:space="preserve">Hierbij </w:t>
      </w:r>
      <w:r w:rsidR="00397DED" w:rsidRPr="008E33DF">
        <w:rPr>
          <w:rFonts w:cs="Helvetica"/>
          <w:szCs w:val="20"/>
        </w:rPr>
        <w:t>be</w:t>
      </w:r>
      <w:r w:rsidR="009A33B1" w:rsidRPr="008E33DF">
        <w:rPr>
          <w:rFonts w:cs="Helvetica"/>
          <w:szCs w:val="20"/>
        </w:rPr>
        <w:t xml:space="preserve">kijkt </w:t>
      </w:r>
      <w:r w:rsidR="00E569E2" w:rsidRPr="008E33DF">
        <w:rPr>
          <w:rFonts w:cs="Helvetica"/>
          <w:szCs w:val="20"/>
        </w:rPr>
        <w:t xml:space="preserve">de rechter </w:t>
      </w:r>
      <w:r w:rsidR="009A33B1" w:rsidRPr="008E33DF">
        <w:rPr>
          <w:rFonts w:cs="Helvetica"/>
          <w:szCs w:val="20"/>
        </w:rPr>
        <w:t xml:space="preserve">vooral of </w:t>
      </w:r>
      <w:r w:rsidR="00E569E2" w:rsidRPr="008E33DF">
        <w:rPr>
          <w:rFonts w:cs="Helvetica"/>
          <w:szCs w:val="20"/>
        </w:rPr>
        <w:t xml:space="preserve">de woonruimte geschikt is voor </w:t>
      </w:r>
      <w:r w:rsidR="00C65CA1" w:rsidRPr="008E33DF">
        <w:rPr>
          <w:rFonts w:cs="Helvetica"/>
          <w:szCs w:val="20"/>
        </w:rPr>
        <w:t>permanent</w:t>
      </w:r>
      <w:r w:rsidR="00E569E2" w:rsidRPr="008E33DF">
        <w:rPr>
          <w:rFonts w:cs="Helvetica"/>
          <w:szCs w:val="20"/>
        </w:rPr>
        <w:t xml:space="preserve"> verblijf. </w:t>
      </w:r>
      <w:r w:rsidR="001D366D" w:rsidRPr="008E33DF">
        <w:rPr>
          <w:rFonts w:cs="Helvetica"/>
          <w:szCs w:val="20"/>
        </w:rPr>
        <w:t xml:space="preserve">Het betreft vooral woningen zonder enige bijzonderheden. In de uitspraak van Rb. Haarlem van 11 juli 2007 zegt de rechter bijvoorbeeld: </w:t>
      </w:r>
      <w:r w:rsidR="008E33DF">
        <w:rPr>
          <w:rFonts w:cs="Helvetica"/>
          <w:szCs w:val="20"/>
        </w:rPr>
        <w:t>"</w:t>
      </w:r>
      <w:r w:rsidR="001D366D" w:rsidRPr="008E33DF">
        <w:rPr>
          <w:rFonts w:cs="Helvetica"/>
          <w:i/>
          <w:szCs w:val="20"/>
        </w:rPr>
        <w:t>Het betreft hier immers een eengezinswoning die niet zonder meer naar haar aard slechts geschikt</w:t>
      </w:r>
      <w:r w:rsidR="008E33DF">
        <w:rPr>
          <w:rFonts w:cs="Helvetica"/>
          <w:i/>
          <w:szCs w:val="20"/>
        </w:rPr>
        <w:t xml:space="preserve"> is voor verhuur voor korte duur"</w:t>
      </w:r>
      <w:r w:rsidR="001D366D" w:rsidRPr="008E33DF">
        <w:rPr>
          <w:rFonts w:cs="Helvetica"/>
          <w:i/>
          <w:szCs w:val="20"/>
        </w:rPr>
        <w:t>.</w:t>
      </w:r>
      <w:r w:rsidR="001D366D" w:rsidRPr="008E33DF">
        <w:rPr>
          <w:rStyle w:val="Voetnootmarkering"/>
          <w:rFonts w:cs="Helvetica"/>
          <w:i/>
          <w:szCs w:val="20"/>
        </w:rPr>
        <w:footnoteReference w:id="26"/>
      </w:r>
      <w:r w:rsidR="00C71A73" w:rsidRPr="008E33DF">
        <w:rPr>
          <w:rFonts w:cs="Helvetica"/>
          <w:i/>
          <w:szCs w:val="20"/>
        </w:rPr>
        <w:t xml:space="preserve"> </w:t>
      </w:r>
      <w:r w:rsidR="00403C34" w:rsidRPr="008E33DF">
        <w:rPr>
          <w:rFonts w:cs="Helvetica"/>
          <w:szCs w:val="20"/>
        </w:rPr>
        <w:t xml:space="preserve">In </w:t>
      </w:r>
      <w:r w:rsidR="00097930" w:rsidRPr="008E33DF">
        <w:rPr>
          <w:rFonts w:cs="Helvetica"/>
          <w:szCs w:val="20"/>
        </w:rPr>
        <w:t>zeven</w:t>
      </w:r>
      <w:r w:rsidR="00403C34" w:rsidRPr="008E33DF">
        <w:rPr>
          <w:rFonts w:cs="Helvetica"/>
          <w:szCs w:val="20"/>
        </w:rPr>
        <w:t xml:space="preserve"> van de </w:t>
      </w:r>
      <w:r w:rsidR="00097930" w:rsidRPr="008E33DF">
        <w:rPr>
          <w:rFonts w:cs="Helvetica"/>
          <w:szCs w:val="20"/>
        </w:rPr>
        <w:t>acht</w:t>
      </w:r>
      <w:r w:rsidR="00403C34" w:rsidRPr="008E33DF">
        <w:rPr>
          <w:rFonts w:cs="Helvetica"/>
          <w:szCs w:val="20"/>
        </w:rPr>
        <w:t xml:space="preserve"> uitspraken waarbij </w:t>
      </w:r>
      <w:r w:rsidR="00097930" w:rsidRPr="008E33DF">
        <w:rPr>
          <w:rFonts w:cs="Helvetica"/>
          <w:szCs w:val="20"/>
        </w:rPr>
        <w:t>wordt</w:t>
      </w:r>
      <w:r w:rsidR="00403C34" w:rsidRPr="008E33DF">
        <w:rPr>
          <w:rFonts w:cs="Helvetica"/>
          <w:szCs w:val="20"/>
        </w:rPr>
        <w:t xml:space="preserve"> beoordee</w:t>
      </w:r>
      <w:r w:rsidR="00097930" w:rsidRPr="008E33DF">
        <w:rPr>
          <w:rFonts w:cs="Helvetica"/>
          <w:szCs w:val="20"/>
        </w:rPr>
        <w:t>ld</w:t>
      </w:r>
      <w:r w:rsidR="00403C34" w:rsidRPr="008E33DF">
        <w:rPr>
          <w:rFonts w:cs="Helvetica"/>
          <w:szCs w:val="20"/>
        </w:rPr>
        <w:t xml:space="preserve"> op de geschiktheid van de woonruimte voor permanent verblijf, doet de rechter een soortgelijk</w:t>
      </w:r>
      <w:r w:rsidR="00F161AE" w:rsidRPr="008E33DF">
        <w:rPr>
          <w:rFonts w:cs="Helvetica"/>
          <w:szCs w:val="20"/>
        </w:rPr>
        <w:t>e</w:t>
      </w:r>
      <w:r w:rsidR="00403C34" w:rsidRPr="008E33DF">
        <w:rPr>
          <w:rFonts w:cs="Helvetica"/>
          <w:szCs w:val="20"/>
        </w:rPr>
        <w:t xml:space="preserve"> uitspraak</w:t>
      </w:r>
      <w:r w:rsidR="009A33B1" w:rsidRPr="008E33DF">
        <w:rPr>
          <w:rFonts w:cs="Helvetica"/>
          <w:szCs w:val="20"/>
        </w:rPr>
        <w:t>(zie bijlage 3</w:t>
      </w:r>
      <w:r w:rsidR="00403C34" w:rsidRPr="008E33DF">
        <w:rPr>
          <w:rFonts w:cs="Helvetica"/>
          <w:szCs w:val="20"/>
        </w:rPr>
        <w:t xml:space="preserve">). </w:t>
      </w:r>
    </w:p>
    <w:p w:rsidR="00403C34" w:rsidRPr="008E33DF" w:rsidRDefault="00F161AE" w:rsidP="00DF7AD8">
      <w:pPr>
        <w:rPr>
          <w:rFonts w:cs="Helvetica"/>
          <w:szCs w:val="20"/>
        </w:rPr>
      </w:pPr>
      <w:r w:rsidRPr="008E33DF">
        <w:rPr>
          <w:rFonts w:cs="Helvetica"/>
          <w:szCs w:val="20"/>
        </w:rPr>
        <w:t>Daarnaast valt het</w:t>
      </w:r>
      <w:r w:rsidR="00403C34" w:rsidRPr="008E33DF">
        <w:rPr>
          <w:rFonts w:cs="Helvetica"/>
          <w:szCs w:val="20"/>
        </w:rPr>
        <w:t xml:space="preserve"> op dat de rechter slechts benoemt dat de woning geschikt is voor permanent verblijf</w:t>
      </w:r>
      <w:r w:rsidRPr="008E33DF">
        <w:rPr>
          <w:rFonts w:cs="Helvetica"/>
          <w:szCs w:val="20"/>
        </w:rPr>
        <w:t>,</w:t>
      </w:r>
      <w:r w:rsidR="00403C34" w:rsidRPr="008E33DF">
        <w:rPr>
          <w:rFonts w:cs="Helvetica"/>
          <w:szCs w:val="20"/>
        </w:rPr>
        <w:t xml:space="preserve"> maar geen uitgebreide motivering doet. In enkel één uitspraak geeft de rechter wel een motiverin</w:t>
      </w:r>
      <w:r w:rsidRPr="008E33DF">
        <w:rPr>
          <w:rFonts w:cs="Helvetica"/>
          <w:szCs w:val="20"/>
        </w:rPr>
        <w:t xml:space="preserve">g voor zijn beoordeling, namelijk </w:t>
      </w:r>
      <w:r w:rsidR="00403C34" w:rsidRPr="008E33DF">
        <w:rPr>
          <w:rFonts w:cs="Helvetica"/>
          <w:szCs w:val="20"/>
        </w:rPr>
        <w:t>de uitspraak van</w:t>
      </w:r>
      <w:r w:rsidR="00C71A73" w:rsidRPr="008E33DF">
        <w:rPr>
          <w:rFonts w:cs="Helvetica"/>
          <w:szCs w:val="20"/>
        </w:rPr>
        <w:t xml:space="preserve"> Rb.</w:t>
      </w:r>
      <w:r w:rsidR="00403C34" w:rsidRPr="008E33DF">
        <w:rPr>
          <w:rFonts w:cs="Helvetica"/>
          <w:szCs w:val="20"/>
        </w:rPr>
        <w:t xml:space="preserve"> </w:t>
      </w:r>
      <w:r w:rsidR="007B4AFD" w:rsidRPr="008E33DF">
        <w:rPr>
          <w:rFonts w:cs="Helvetica"/>
          <w:szCs w:val="20"/>
        </w:rPr>
        <w:t xml:space="preserve">Amsterdam van 29 oktober 2015. In deze uitspraak oordeelt de rechter dat </w:t>
      </w:r>
      <w:r w:rsidR="008E33DF">
        <w:rPr>
          <w:rFonts w:cs="Helvetica"/>
          <w:i/>
          <w:szCs w:val="20"/>
        </w:rPr>
        <w:t>"</w:t>
      </w:r>
      <w:r w:rsidR="007B4AFD" w:rsidRPr="008E33DF">
        <w:rPr>
          <w:rFonts w:cs="Helvetica"/>
          <w:i/>
          <w:szCs w:val="20"/>
        </w:rPr>
        <w:t xml:space="preserve">de ligging </w:t>
      </w:r>
      <w:r w:rsidR="00F176B3" w:rsidRPr="008E33DF">
        <w:rPr>
          <w:rFonts w:cs="Helvetica"/>
          <w:i/>
          <w:szCs w:val="20"/>
        </w:rPr>
        <w:t>bij de snelweg</w:t>
      </w:r>
      <w:r w:rsidR="007B4AFD" w:rsidRPr="008E33DF">
        <w:rPr>
          <w:rFonts w:cs="Helvetica"/>
          <w:i/>
          <w:szCs w:val="20"/>
        </w:rPr>
        <w:t xml:space="preserve"> in combinatie met ontbreken van adequate voorzieningen om te voldoen aan de geluidsnormering met zich meebrengt dat de woonruimte </w:t>
      </w:r>
      <w:r w:rsidR="00F176B3" w:rsidRPr="008E33DF">
        <w:rPr>
          <w:rFonts w:cs="Helvetica"/>
          <w:i/>
          <w:szCs w:val="20"/>
        </w:rPr>
        <w:t>niet ge</w:t>
      </w:r>
      <w:r w:rsidR="007B4AFD" w:rsidRPr="008E33DF">
        <w:rPr>
          <w:rFonts w:cs="Helvetica"/>
          <w:i/>
          <w:szCs w:val="20"/>
        </w:rPr>
        <w:t>schikt is voor langdurig</w:t>
      </w:r>
      <w:r w:rsidR="00F176B3" w:rsidRPr="008E33DF">
        <w:rPr>
          <w:rFonts w:cs="Helvetica"/>
          <w:i/>
          <w:szCs w:val="20"/>
        </w:rPr>
        <w:t>e</w:t>
      </w:r>
      <w:r w:rsidR="00097930" w:rsidRPr="008E33DF">
        <w:rPr>
          <w:rFonts w:cs="Helvetica"/>
          <w:i/>
          <w:szCs w:val="20"/>
        </w:rPr>
        <w:t xml:space="preserve"> </w:t>
      </w:r>
      <w:r w:rsidR="00F176B3" w:rsidRPr="008E33DF">
        <w:rPr>
          <w:rFonts w:cs="Helvetica"/>
          <w:i/>
          <w:szCs w:val="20"/>
        </w:rPr>
        <w:t>bewoning</w:t>
      </w:r>
      <w:r w:rsidR="008E33DF">
        <w:rPr>
          <w:rFonts w:cs="Helvetica"/>
          <w:i/>
          <w:szCs w:val="20"/>
        </w:rPr>
        <w:t>"</w:t>
      </w:r>
      <w:r w:rsidR="007B4AFD" w:rsidRPr="008E33DF">
        <w:rPr>
          <w:rFonts w:cs="Helvetica"/>
          <w:szCs w:val="20"/>
        </w:rPr>
        <w:t>.</w:t>
      </w:r>
      <w:r w:rsidR="00F176B3" w:rsidRPr="008E33DF">
        <w:rPr>
          <w:rStyle w:val="Voetnootmarkering"/>
          <w:rFonts w:cs="Helvetica"/>
          <w:szCs w:val="20"/>
        </w:rPr>
        <w:footnoteReference w:id="27"/>
      </w:r>
      <w:r w:rsidR="00097930" w:rsidRPr="008E33DF">
        <w:rPr>
          <w:rFonts w:cs="Helvetica"/>
          <w:szCs w:val="20"/>
        </w:rPr>
        <w:t xml:space="preserve"> </w:t>
      </w:r>
      <w:r w:rsidR="00F176B3" w:rsidRPr="008E33DF">
        <w:rPr>
          <w:rFonts w:cs="Helvetica"/>
          <w:szCs w:val="20"/>
        </w:rPr>
        <w:t xml:space="preserve">Uit deze bewoordingen valt te begrijpen dat bij deze uitspraak, op grond van de toetsing naar de aard van het gehuurde, aanleiding bestaat om de huurovereenkomst te kwalificeren als een huurovereenkomst </w:t>
      </w:r>
      <w:r w:rsidRPr="008E33DF">
        <w:rPr>
          <w:rFonts w:cs="Helvetica"/>
          <w:szCs w:val="20"/>
        </w:rPr>
        <w:t xml:space="preserve">die </w:t>
      </w:r>
      <w:r w:rsidR="00F176B3" w:rsidRPr="008E33DF">
        <w:rPr>
          <w:rFonts w:cs="Helvetica"/>
          <w:szCs w:val="20"/>
        </w:rPr>
        <w:t>naar zijn aard van korte duur</w:t>
      </w:r>
      <w:r w:rsidRPr="008E33DF">
        <w:rPr>
          <w:rFonts w:cs="Helvetica"/>
          <w:szCs w:val="20"/>
        </w:rPr>
        <w:t xml:space="preserve"> is</w:t>
      </w:r>
      <w:r w:rsidR="00F176B3" w:rsidRPr="008E33DF">
        <w:rPr>
          <w:rFonts w:cs="Helvetica"/>
          <w:szCs w:val="20"/>
        </w:rPr>
        <w:t xml:space="preserve">. </w:t>
      </w:r>
    </w:p>
    <w:p w:rsidR="009A33B1" w:rsidRPr="008E33DF" w:rsidRDefault="009A33B1" w:rsidP="007B4AFD">
      <w:pPr>
        <w:rPr>
          <w:rFonts w:cs="Helvetica"/>
          <w:szCs w:val="20"/>
        </w:rPr>
      </w:pPr>
    </w:p>
    <w:p w:rsidR="00C65CA1" w:rsidRPr="008E33DF" w:rsidRDefault="00C65CA1" w:rsidP="007B4AFD">
      <w:pPr>
        <w:rPr>
          <w:rFonts w:cs="Helvetica"/>
          <w:b/>
          <w:color w:val="8DB3E2" w:themeColor="text2" w:themeTint="66"/>
          <w:szCs w:val="20"/>
        </w:rPr>
      </w:pPr>
      <w:r w:rsidRPr="008E33DF">
        <w:rPr>
          <w:rFonts w:cs="Helvetica"/>
          <w:szCs w:val="20"/>
        </w:rPr>
        <w:t xml:space="preserve">Uit </w:t>
      </w:r>
      <w:r w:rsidR="00F161AE" w:rsidRPr="008E33DF">
        <w:rPr>
          <w:rFonts w:cs="Helvetica"/>
          <w:szCs w:val="20"/>
        </w:rPr>
        <w:t xml:space="preserve">het </w:t>
      </w:r>
      <w:r w:rsidRPr="008E33DF">
        <w:rPr>
          <w:rFonts w:cs="Helvetica"/>
          <w:szCs w:val="20"/>
        </w:rPr>
        <w:t>bovenstaande blijkt dat de rechter niet veel aandacht besteed</w:t>
      </w:r>
      <w:r w:rsidR="00241C80" w:rsidRPr="008E33DF">
        <w:rPr>
          <w:rFonts w:cs="Helvetica"/>
          <w:szCs w:val="20"/>
        </w:rPr>
        <w:t>t</w:t>
      </w:r>
      <w:r w:rsidRPr="008E33DF">
        <w:rPr>
          <w:rFonts w:cs="Helvetica"/>
          <w:szCs w:val="20"/>
        </w:rPr>
        <w:t xml:space="preserve"> aan de motivering van zijn beoordeling op</w:t>
      </w:r>
      <w:r w:rsidR="00317657" w:rsidRPr="008E33DF">
        <w:rPr>
          <w:rFonts w:cs="Helvetica"/>
          <w:szCs w:val="20"/>
        </w:rPr>
        <w:t xml:space="preserve"> de geschiktheid van de woning. </w:t>
      </w:r>
      <w:r w:rsidR="0077294A" w:rsidRPr="008E33DF">
        <w:rPr>
          <w:rFonts w:cs="Helvetica"/>
          <w:szCs w:val="20"/>
        </w:rPr>
        <w:t>De rechter toetst weliswaar wel vaak op dit criterium, maar hi</w:t>
      </w:r>
      <w:r w:rsidR="005024F4" w:rsidRPr="008E33DF">
        <w:rPr>
          <w:rFonts w:cs="Helvetica"/>
          <w:szCs w:val="20"/>
        </w:rPr>
        <w:t xml:space="preserve">j benoemt slechts bijvoorbeeld dat het gaat om een gewone woning. </w:t>
      </w:r>
      <w:r w:rsidR="00317657" w:rsidRPr="008E33DF">
        <w:rPr>
          <w:rFonts w:cs="Helvetica"/>
          <w:szCs w:val="20"/>
        </w:rPr>
        <w:t xml:space="preserve">Of dit tot de conclusie kan leiden dat de rechter deze omstandigheid minder zwaar laat wegen in zijn </w:t>
      </w:r>
      <w:r w:rsidR="00097930" w:rsidRPr="008E33DF">
        <w:rPr>
          <w:rFonts w:cs="Helvetica"/>
          <w:szCs w:val="20"/>
        </w:rPr>
        <w:t>beslissing,</w:t>
      </w:r>
      <w:r w:rsidR="00241C80" w:rsidRPr="008E33DF">
        <w:rPr>
          <w:rFonts w:cs="Helvetica"/>
          <w:szCs w:val="20"/>
        </w:rPr>
        <w:t xml:space="preserve"> is nog de vraag. Dit zal </w:t>
      </w:r>
      <w:r w:rsidR="003939DE" w:rsidRPr="008E33DF">
        <w:rPr>
          <w:rFonts w:cs="Helvetica"/>
          <w:szCs w:val="20"/>
        </w:rPr>
        <w:t>wellicht</w:t>
      </w:r>
      <w:r w:rsidR="00317657" w:rsidRPr="008E33DF">
        <w:rPr>
          <w:rFonts w:cs="Helvetica"/>
          <w:szCs w:val="20"/>
        </w:rPr>
        <w:t xml:space="preserve"> d</w:t>
      </w:r>
      <w:r w:rsidR="003939DE" w:rsidRPr="008E33DF">
        <w:rPr>
          <w:rFonts w:cs="Helvetica"/>
          <w:szCs w:val="20"/>
        </w:rPr>
        <w:t>uidelijker w</w:t>
      </w:r>
      <w:r w:rsidR="00241C80" w:rsidRPr="008E33DF">
        <w:rPr>
          <w:rFonts w:cs="Helvetica"/>
          <w:szCs w:val="20"/>
        </w:rPr>
        <w:t>orden bij de behandeling van de</w:t>
      </w:r>
      <w:r w:rsidR="003939DE" w:rsidRPr="008E33DF">
        <w:rPr>
          <w:rFonts w:cs="Helvetica"/>
          <w:szCs w:val="20"/>
        </w:rPr>
        <w:t>zelfde categorie in de uitspraken waarbij het beroep wel slaagt.</w:t>
      </w:r>
    </w:p>
    <w:p w:rsidR="00D22B6F" w:rsidRPr="008E33DF" w:rsidRDefault="00880827" w:rsidP="007B4AFD">
      <w:pPr>
        <w:rPr>
          <w:rFonts w:cs="Helvetica"/>
          <w:szCs w:val="20"/>
        </w:rPr>
      </w:pPr>
      <w:r w:rsidRPr="008E33DF">
        <w:rPr>
          <w:rFonts w:cs="Helvetica"/>
          <w:szCs w:val="20"/>
        </w:rPr>
        <w:lastRenderedPageBreak/>
        <w:t xml:space="preserve">De drie overige categorieën bevatten elk slechts één uitspraak. </w:t>
      </w:r>
      <w:r w:rsidR="00097930" w:rsidRPr="008E33DF">
        <w:rPr>
          <w:rFonts w:cs="Helvetica"/>
          <w:szCs w:val="20"/>
        </w:rPr>
        <w:t>In ee</w:t>
      </w:r>
      <w:r w:rsidR="00E741CE" w:rsidRPr="008E33DF">
        <w:rPr>
          <w:rFonts w:cs="Helvetica"/>
          <w:szCs w:val="20"/>
        </w:rPr>
        <w:t xml:space="preserve">n van deze uitspraken maakt de rechter simpelweg </w:t>
      </w:r>
      <w:r w:rsidR="00E741CE" w:rsidRPr="008E33DF">
        <w:rPr>
          <w:rFonts w:cs="Helvetica"/>
          <w:b/>
          <w:szCs w:val="20"/>
        </w:rPr>
        <w:t>een vergelijking van de woonruimte met een soortgelijke reguliere woning.</w:t>
      </w:r>
      <w:r w:rsidR="00E741CE" w:rsidRPr="008E33DF">
        <w:rPr>
          <w:rFonts w:cs="Helvetica"/>
          <w:szCs w:val="20"/>
        </w:rPr>
        <w:t xml:space="preserve"> D</w:t>
      </w:r>
      <w:r w:rsidR="00097930" w:rsidRPr="008E33DF">
        <w:rPr>
          <w:rFonts w:cs="Helvetica"/>
          <w:szCs w:val="20"/>
        </w:rPr>
        <w:t xml:space="preserve">it is de uitspraak van </w:t>
      </w:r>
      <w:r w:rsidR="00F7062E" w:rsidRPr="008E33DF">
        <w:rPr>
          <w:rFonts w:cs="Helvetica"/>
          <w:szCs w:val="20"/>
        </w:rPr>
        <w:t>Rb.</w:t>
      </w:r>
      <w:r w:rsidR="00241C80" w:rsidRPr="008E33DF">
        <w:rPr>
          <w:rFonts w:cs="Helvetica"/>
          <w:szCs w:val="20"/>
        </w:rPr>
        <w:t xml:space="preserve"> Amsterdam van </w:t>
      </w:r>
      <w:r w:rsidR="00930E0D" w:rsidRPr="008E33DF">
        <w:rPr>
          <w:rFonts w:cs="Helvetica"/>
          <w:szCs w:val="20"/>
        </w:rPr>
        <w:t>8 april 2014. In deze zaak wordt een gemeubileerde</w:t>
      </w:r>
      <w:r w:rsidR="00097930" w:rsidRPr="008E33DF">
        <w:rPr>
          <w:rFonts w:cs="Helvetica"/>
          <w:szCs w:val="20"/>
        </w:rPr>
        <w:t>,</w:t>
      </w:r>
      <w:r w:rsidR="00930E0D" w:rsidRPr="008E33DF">
        <w:rPr>
          <w:rFonts w:cs="Helvetica"/>
          <w:szCs w:val="20"/>
        </w:rPr>
        <w:t xml:space="preserve"> onzelfstandige woonr</w:t>
      </w:r>
      <w:r w:rsidR="008E33DF">
        <w:rPr>
          <w:rFonts w:cs="Helvetica"/>
          <w:szCs w:val="20"/>
        </w:rPr>
        <w:t xml:space="preserve">uimte verhuurd aan een student. </w:t>
      </w:r>
      <w:r w:rsidR="00930E0D" w:rsidRPr="008E33DF">
        <w:rPr>
          <w:rFonts w:cs="Helvetica"/>
          <w:szCs w:val="20"/>
        </w:rPr>
        <w:t>De</w:t>
      </w:r>
      <w:r w:rsidR="00241C80" w:rsidRPr="008E33DF">
        <w:rPr>
          <w:rFonts w:cs="Helvetica"/>
          <w:szCs w:val="20"/>
        </w:rPr>
        <w:t>ze kamer is naar het</w:t>
      </w:r>
      <w:r w:rsidR="00930E0D" w:rsidRPr="008E33DF">
        <w:rPr>
          <w:rFonts w:cs="Helvetica"/>
          <w:szCs w:val="20"/>
        </w:rPr>
        <w:t xml:space="preserve"> oordeel van de rechter niet anders dan andere kamers di</w:t>
      </w:r>
      <w:r w:rsidR="00241C80" w:rsidRPr="008E33DF">
        <w:rPr>
          <w:rFonts w:cs="Helvetica"/>
          <w:szCs w:val="20"/>
        </w:rPr>
        <w:t>e aan studenten worden verhuurd</w:t>
      </w:r>
      <w:r w:rsidR="00097930" w:rsidRPr="008E33DF">
        <w:rPr>
          <w:rFonts w:cs="Helvetica"/>
          <w:szCs w:val="20"/>
        </w:rPr>
        <w:t>,</w:t>
      </w:r>
      <w:r w:rsidR="00930E0D" w:rsidRPr="008E33DF">
        <w:rPr>
          <w:rFonts w:cs="Helvetica"/>
          <w:szCs w:val="20"/>
        </w:rPr>
        <w:t xml:space="preserve"> waarbij de huur als reguliere huur wordt aangemerkt.</w:t>
      </w:r>
      <w:r w:rsidR="00930E0D" w:rsidRPr="008E33DF">
        <w:rPr>
          <w:rStyle w:val="Voetnootmarkering"/>
          <w:rFonts w:cs="Helvetica"/>
          <w:szCs w:val="20"/>
        </w:rPr>
        <w:footnoteReference w:id="28"/>
      </w:r>
    </w:p>
    <w:p w:rsidR="009A33B1" w:rsidRPr="008E33DF" w:rsidRDefault="009A33B1" w:rsidP="007B4AFD">
      <w:pPr>
        <w:rPr>
          <w:rFonts w:cs="Helvetica"/>
          <w:szCs w:val="20"/>
        </w:rPr>
      </w:pPr>
    </w:p>
    <w:p w:rsidR="0026539C" w:rsidRPr="008E33DF" w:rsidRDefault="00097930" w:rsidP="007B4AFD">
      <w:pPr>
        <w:rPr>
          <w:rFonts w:cs="Helvetica"/>
          <w:szCs w:val="20"/>
        </w:rPr>
      </w:pPr>
      <w:r w:rsidRPr="008E33DF">
        <w:rPr>
          <w:rFonts w:cs="Helvetica"/>
          <w:szCs w:val="20"/>
        </w:rPr>
        <w:t>Zeer opmerkelijk aan t</w:t>
      </w:r>
      <w:r w:rsidR="0026539C" w:rsidRPr="008E33DF">
        <w:rPr>
          <w:rFonts w:cs="Helvetica"/>
          <w:szCs w:val="20"/>
        </w:rPr>
        <w:t>abel 3 is</w:t>
      </w:r>
      <w:r w:rsidRPr="008E33DF">
        <w:rPr>
          <w:rFonts w:cs="Helvetica"/>
          <w:szCs w:val="20"/>
        </w:rPr>
        <w:t>,</w:t>
      </w:r>
      <w:r w:rsidR="0026539C" w:rsidRPr="008E33DF">
        <w:rPr>
          <w:rFonts w:cs="Helvetica"/>
          <w:szCs w:val="20"/>
        </w:rPr>
        <w:t xml:space="preserve"> dat deze tabel een uitspraak bevat waarin de huur van een </w:t>
      </w:r>
      <w:r w:rsidR="0026539C" w:rsidRPr="008E33DF">
        <w:rPr>
          <w:rFonts w:cs="Helvetica"/>
          <w:b/>
          <w:szCs w:val="20"/>
        </w:rPr>
        <w:t>recreatiewoning</w:t>
      </w:r>
      <w:r w:rsidR="0026539C" w:rsidRPr="008E33DF">
        <w:rPr>
          <w:rFonts w:cs="Helvetica"/>
          <w:szCs w:val="20"/>
        </w:rPr>
        <w:t xml:space="preserve"> ni</w:t>
      </w:r>
      <w:r w:rsidR="00241C80" w:rsidRPr="008E33DF">
        <w:rPr>
          <w:rFonts w:cs="Helvetica"/>
          <w:szCs w:val="20"/>
        </w:rPr>
        <w:t>et wordt aangemerkt als huur</w:t>
      </w:r>
      <w:r w:rsidR="009A33B1" w:rsidRPr="008E33DF">
        <w:rPr>
          <w:rFonts w:cs="Helvetica"/>
          <w:szCs w:val="20"/>
        </w:rPr>
        <w:t xml:space="preserve"> welke een gebruik van woonruimte betreft dat</w:t>
      </w:r>
      <w:r w:rsidR="0026539C" w:rsidRPr="008E33DF">
        <w:rPr>
          <w:rFonts w:cs="Helvetica"/>
          <w:szCs w:val="20"/>
        </w:rPr>
        <w:t xml:space="preserve"> naar zijn aard van korte duur is. Een recreatiewoning wordt namelijk genoemd in de parlementaire geschiedenis. In de uitspraak van Rb. Limburg van 27 november 2015 is de rechter in eerste instantie ook van oordeel dat het hier gaat om huur d</w:t>
      </w:r>
      <w:r w:rsidR="00241C80" w:rsidRPr="008E33DF">
        <w:rPr>
          <w:rFonts w:cs="Helvetica"/>
          <w:szCs w:val="20"/>
        </w:rPr>
        <w:t>ie</w:t>
      </w:r>
      <w:r w:rsidR="0026539C" w:rsidRPr="008E33DF">
        <w:rPr>
          <w:rFonts w:cs="Helvetica"/>
          <w:szCs w:val="20"/>
        </w:rPr>
        <w:t xml:space="preserve"> naar zijn aa</w:t>
      </w:r>
      <w:r w:rsidRPr="008E33DF">
        <w:rPr>
          <w:rFonts w:cs="Helvetica"/>
          <w:szCs w:val="20"/>
        </w:rPr>
        <w:t>rd van korte duur is,</w:t>
      </w:r>
      <w:r w:rsidR="00241C80" w:rsidRPr="008E33DF">
        <w:rPr>
          <w:rFonts w:cs="Helvetica"/>
          <w:szCs w:val="20"/>
        </w:rPr>
        <w:t xml:space="preserve"> voornamelijk</w:t>
      </w:r>
      <w:r w:rsidR="0026539C" w:rsidRPr="008E33DF">
        <w:rPr>
          <w:rFonts w:cs="Helvetica"/>
          <w:szCs w:val="20"/>
        </w:rPr>
        <w:t xml:space="preserve"> omdat het gaat om een recreatiewoning in een bungalowpark. </w:t>
      </w:r>
      <w:r w:rsidR="00997440" w:rsidRPr="008E33DF">
        <w:rPr>
          <w:rFonts w:cs="Helvetica"/>
          <w:szCs w:val="20"/>
        </w:rPr>
        <w:t>Het beroep wordt echter afgewezen</w:t>
      </w:r>
      <w:r w:rsidR="00241C80" w:rsidRPr="008E33DF">
        <w:rPr>
          <w:rFonts w:cs="Helvetica"/>
          <w:szCs w:val="20"/>
        </w:rPr>
        <w:t xml:space="preserve"> vanwege </w:t>
      </w:r>
      <w:r w:rsidR="0026539C" w:rsidRPr="008E33DF">
        <w:rPr>
          <w:rFonts w:cs="Helvetica"/>
          <w:szCs w:val="20"/>
        </w:rPr>
        <w:t>het feit dat de huurovereenkomst verlengd is.</w:t>
      </w:r>
      <w:r w:rsidR="0026539C" w:rsidRPr="008E33DF">
        <w:rPr>
          <w:rStyle w:val="Voetnootmarkering"/>
          <w:rFonts w:cs="Helvetica"/>
          <w:szCs w:val="20"/>
        </w:rPr>
        <w:footnoteReference w:id="29"/>
      </w:r>
      <w:r w:rsidR="00997440" w:rsidRPr="008E33DF">
        <w:rPr>
          <w:rFonts w:cs="Helvetica"/>
          <w:szCs w:val="20"/>
        </w:rPr>
        <w:t xml:space="preserve"> In de uitspraak van</w:t>
      </w:r>
      <w:r w:rsidRPr="008E33DF">
        <w:rPr>
          <w:rFonts w:cs="Helvetica"/>
          <w:szCs w:val="20"/>
        </w:rPr>
        <w:t xml:space="preserve"> </w:t>
      </w:r>
      <w:r w:rsidR="00997440" w:rsidRPr="008E33DF">
        <w:rPr>
          <w:rFonts w:cs="Helvetica"/>
          <w:szCs w:val="20"/>
        </w:rPr>
        <w:t>R</w:t>
      </w:r>
      <w:r w:rsidRPr="008E33DF">
        <w:rPr>
          <w:rFonts w:cs="Helvetica"/>
          <w:szCs w:val="20"/>
        </w:rPr>
        <w:t>b.</w:t>
      </w:r>
      <w:r w:rsidR="00997440" w:rsidRPr="008E33DF">
        <w:rPr>
          <w:rFonts w:cs="Helvetica"/>
          <w:szCs w:val="20"/>
        </w:rPr>
        <w:t xml:space="preserve"> Zutphen van 6 oktober 2010 wordt om dezelfde reden het beroep afgewezen. Deze uitspraak </w:t>
      </w:r>
      <w:r w:rsidRPr="008E33DF">
        <w:rPr>
          <w:rFonts w:cs="Helvetica"/>
          <w:szCs w:val="20"/>
        </w:rPr>
        <w:t>staat niet</w:t>
      </w:r>
      <w:r w:rsidR="00997440" w:rsidRPr="008E33DF">
        <w:rPr>
          <w:rFonts w:cs="Helvetica"/>
          <w:szCs w:val="20"/>
        </w:rPr>
        <w:t xml:space="preserve"> in </w:t>
      </w:r>
      <w:r w:rsidRPr="008E33DF">
        <w:rPr>
          <w:rFonts w:cs="Helvetica"/>
          <w:szCs w:val="20"/>
        </w:rPr>
        <w:t>t</w:t>
      </w:r>
      <w:r w:rsidR="00997440" w:rsidRPr="008E33DF">
        <w:rPr>
          <w:rFonts w:cs="Helvetica"/>
          <w:szCs w:val="20"/>
        </w:rPr>
        <w:t>abel 3</w:t>
      </w:r>
      <w:r w:rsidR="00241C80" w:rsidRPr="008E33DF">
        <w:rPr>
          <w:rFonts w:cs="Helvetica"/>
          <w:szCs w:val="20"/>
        </w:rPr>
        <w:t>,</w:t>
      </w:r>
      <w:r w:rsidR="00997440" w:rsidRPr="008E33DF">
        <w:rPr>
          <w:rFonts w:cs="Helvetica"/>
          <w:szCs w:val="20"/>
        </w:rPr>
        <w:t xml:space="preserve"> omdat de rechter in deze uitspra</w:t>
      </w:r>
      <w:r w:rsidRPr="008E33DF">
        <w:rPr>
          <w:rFonts w:cs="Helvetica"/>
          <w:szCs w:val="20"/>
        </w:rPr>
        <w:t>ak geen toetsing</w:t>
      </w:r>
      <w:r w:rsidR="00241C80" w:rsidRPr="008E33DF">
        <w:rPr>
          <w:rFonts w:cs="Helvetica"/>
          <w:szCs w:val="20"/>
        </w:rPr>
        <w:t xml:space="preserve"> doet op de </w:t>
      </w:r>
      <w:r w:rsidR="00997440" w:rsidRPr="008E33DF">
        <w:rPr>
          <w:rFonts w:cs="Helvetica"/>
          <w:szCs w:val="20"/>
        </w:rPr>
        <w:t>aard van het gehuurde. Over het feit dat</w:t>
      </w:r>
      <w:r w:rsidRPr="008E33DF">
        <w:rPr>
          <w:rFonts w:cs="Helvetica"/>
          <w:szCs w:val="20"/>
        </w:rPr>
        <w:t xml:space="preserve"> het beroep</w:t>
      </w:r>
      <w:r w:rsidR="00997440" w:rsidRPr="008E33DF">
        <w:rPr>
          <w:rFonts w:cs="Helvetica"/>
          <w:szCs w:val="20"/>
        </w:rPr>
        <w:t xml:space="preserve"> op grond van de verlenging</w:t>
      </w:r>
      <w:r w:rsidR="000F054C" w:rsidRPr="008E33DF">
        <w:rPr>
          <w:rFonts w:cs="Helvetica"/>
          <w:szCs w:val="20"/>
        </w:rPr>
        <w:t xml:space="preserve"> wordt</w:t>
      </w:r>
      <w:r w:rsidR="00997440" w:rsidRPr="008E33DF">
        <w:rPr>
          <w:rFonts w:cs="Helvetica"/>
          <w:szCs w:val="20"/>
        </w:rPr>
        <w:t xml:space="preserve"> afgewezen, </w:t>
      </w:r>
      <w:r w:rsidR="0026539C" w:rsidRPr="008E33DF">
        <w:rPr>
          <w:rFonts w:cs="Helvetica"/>
          <w:szCs w:val="20"/>
        </w:rPr>
        <w:t>wordt</w:t>
      </w:r>
      <w:r w:rsidR="00651136" w:rsidRPr="008E33DF">
        <w:rPr>
          <w:rFonts w:cs="Helvetica"/>
          <w:szCs w:val="20"/>
        </w:rPr>
        <w:t xml:space="preserve"> nadere toelichting gegeven </w:t>
      </w:r>
      <w:r w:rsidR="0026539C" w:rsidRPr="008E33DF">
        <w:rPr>
          <w:rFonts w:cs="Helvetica"/>
          <w:szCs w:val="20"/>
        </w:rPr>
        <w:t>bij de behandeling van de duur v</w:t>
      </w:r>
      <w:r w:rsidR="00651136" w:rsidRPr="008E33DF">
        <w:rPr>
          <w:rFonts w:cs="Helvetica"/>
          <w:szCs w:val="20"/>
        </w:rPr>
        <w:t>an het gebruik</w:t>
      </w:r>
      <w:r w:rsidR="0026539C" w:rsidRPr="008E33DF">
        <w:rPr>
          <w:rFonts w:cs="Helvetica"/>
          <w:szCs w:val="20"/>
        </w:rPr>
        <w:t>.</w:t>
      </w:r>
    </w:p>
    <w:p w:rsidR="000F075E" w:rsidRPr="008E33DF" w:rsidRDefault="000F075E" w:rsidP="007B4AFD">
      <w:pPr>
        <w:rPr>
          <w:rFonts w:cs="Helvetica"/>
          <w:szCs w:val="20"/>
        </w:rPr>
      </w:pPr>
    </w:p>
    <w:p w:rsidR="00D22B6F" w:rsidRPr="008E33DF" w:rsidRDefault="0026539C" w:rsidP="007B4AFD">
      <w:pPr>
        <w:rPr>
          <w:rFonts w:cs="Helvetica"/>
          <w:szCs w:val="20"/>
        </w:rPr>
      </w:pPr>
      <w:r w:rsidRPr="008E33DF">
        <w:rPr>
          <w:rFonts w:cs="Helvetica"/>
          <w:szCs w:val="20"/>
        </w:rPr>
        <w:t>D</w:t>
      </w:r>
      <w:r w:rsidR="005D4EB3" w:rsidRPr="008E33DF">
        <w:rPr>
          <w:rFonts w:cs="Helvetica"/>
          <w:szCs w:val="20"/>
        </w:rPr>
        <w:t>e uitspraak van Rb. Zutphen van 18 mei 2011</w:t>
      </w:r>
      <w:r w:rsidR="00DA4A3D" w:rsidRPr="008E33DF">
        <w:rPr>
          <w:rFonts w:cs="Helvetica"/>
          <w:szCs w:val="20"/>
        </w:rPr>
        <w:t xml:space="preserve"> </w:t>
      </w:r>
      <w:r w:rsidR="000F054C" w:rsidRPr="008E33DF">
        <w:rPr>
          <w:rFonts w:cs="Helvetica"/>
          <w:szCs w:val="20"/>
        </w:rPr>
        <w:t>is</w:t>
      </w:r>
      <w:r w:rsidR="00DA4A3D" w:rsidRPr="008E33DF">
        <w:rPr>
          <w:rFonts w:cs="Helvetica"/>
          <w:szCs w:val="20"/>
        </w:rPr>
        <w:t xml:space="preserve"> een ander</w:t>
      </w:r>
      <w:r w:rsidRPr="008E33DF">
        <w:rPr>
          <w:rFonts w:cs="Helvetica"/>
          <w:szCs w:val="20"/>
        </w:rPr>
        <w:t xml:space="preserve"> voorbeeld</w:t>
      </w:r>
      <w:r w:rsidR="000F054C" w:rsidRPr="008E33DF">
        <w:rPr>
          <w:rFonts w:cs="Helvetica"/>
          <w:szCs w:val="20"/>
        </w:rPr>
        <w:t>,</w:t>
      </w:r>
      <w:r w:rsidRPr="008E33DF">
        <w:rPr>
          <w:rFonts w:cs="Helvetica"/>
          <w:szCs w:val="20"/>
        </w:rPr>
        <w:t xml:space="preserve"> waarbij een re</w:t>
      </w:r>
      <w:r w:rsidR="005D4EB3" w:rsidRPr="008E33DF">
        <w:rPr>
          <w:rFonts w:cs="Helvetica"/>
          <w:szCs w:val="20"/>
        </w:rPr>
        <w:t xml:space="preserve">creatiewoning wordt aangemerkt als </w:t>
      </w:r>
      <w:r w:rsidR="000F054C" w:rsidRPr="008E33DF">
        <w:rPr>
          <w:rFonts w:cs="Helvetica"/>
          <w:szCs w:val="20"/>
        </w:rPr>
        <w:t>een gewone</w:t>
      </w:r>
      <w:r w:rsidR="005D4EB3" w:rsidRPr="008E33DF">
        <w:rPr>
          <w:rFonts w:cs="Helvetica"/>
          <w:szCs w:val="20"/>
        </w:rPr>
        <w:t xml:space="preserve"> woning. De rechter motiveert</w:t>
      </w:r>
      <w:r w:rsidRPr="008E33DF">
        <w:rPr>
          <w:rFonts w:cs="Helvetica"/>
          <w:szCs w:val="20"/>
        </w:rPr>
        <w:t xml:space="preserve"> in deze zaak</w:t>
      </w:r>
      <w:r w:rsidR="005D4EB3" w:rsidRPr="008E33DF">
        <w:rPr>
          <w:rFonts w:cs="Helvetica"/>
          <w:szCs w:val="20"/>
        </w:rPr>
        <w:t xml:space="preserve"> zijn beoordeling op het enkele feit dat </w:t>
      </w:r>
      <w:r w:rsidR="005D4EB3" w:rsidRPr="008E33DF">
        <w:rPr>
          <w:rFonts w:cs="Helvetica"/>
          <w:b/>
          <w:szCs w:val="20"/>
        </w:rPr>
        <w:t>beide partijen de woning aanmerken</w:t>
      </w:r>
      <w:r w:rsidR="005D4EB3" w:rsidRPr="008E33DF">
        <w:rPr>
          <w:rFonts w:cs="Helvetica"/>
          <w:szCs w:val="20"/>
        </w:rPr>
        <w:t xml:space="preserve"> als woonruimte.</w:t>
      </w:r>
      <w:r w:rsidR="005D4EB3" w:rsidRPr="008E33DF">
        <w:rPr>
          <w:rStyle w:val="Voetnootmarkering"/>
          <w:rFonts w:cs="Helvetica"/>
          <w:szCs w:val="20"/>
        </w:rPr>
        <w:footnoteReference w:id="30"/>
      </w:r>
    </w:p>
    <w:p w:rsidR="0026539C" w:rsidRPr="008E33DF" w:rsidRDefault="0026539C" w:rsidP="00DA0116">
      <w:pPr>
        <w:rPr>
          <w:rFonts w:ascii="Calibri" w:eastAsia="Times New Roman" w:hAnsi="Calibri" w:cs="Times New Roman"/>
          <w:b/>
          <w:bCs/>
          <w:color w:val="000000"/>
          <w:sz w:val="16"/>
          <w:szCs w:val="16"/>
          <w:lang w:eastAsia="nl-NL"/>
        </w:rPr>
      </w:pPr>
    </w:p>
    <w:p w:rsidR="0026539C" w:rsidRPr="008E33DF" w:rsidRDefault="0026539C" w:rsidP="005E7558">
      <w:pPr>
        <w:pStyle w:val="Kop3"/>
        <w:rPr>
          <w:rFonts w:ascii="Calibri" w:eastAsia="Times New Roman" w:hAnsi="Calibri" w:cs="Times New Roman"/>
          <w:color w:val="000000"/>
          <w:sz w:val="16"/>
          <w:szCs w:val="16"/>
          <w:lang w:eastAsia="nl-NL"/>
        </w:rPr>
      </w:pPr>
      <w:bookmarkStart w:id="42" w:name="_Toc454253670"/>
      <w:r w:rsidRPr="008E33DF">
        <w:t>5.2.2</w:t>
      </w:r>
      <w:r w:rsidR="008E33DF">
        <w:t xml:space="preserve"> </w:t>
      </w:r>
      <w:r w:rsidRPr="008E33DF">
        <w:t>Toegewezen uitspraken</w:t>
      </w:r>
      <w:bookmarkEnd w:id="42"/>
    </w:p>
    <w:p w:rsidR="00DA0116" w:rsidRPr="008E33DF" w:rsidRDefault="00DA0116" w:rsidP="00DA0116">
      <w:pPr>
        <w:rPr>
          <w:rFonts w:asciiTheme="minorHAnsi" w:eastAsia="Times New Roman" w:hAnsiTheme="minorHAnsi" w:cs="Times New Roman"/>
          <w:b/>
          <w:bCs/>
          <w:color w:val="000000"/>
          <w:sz w:val="16"/>
          <w:szCs w:val="16"/>
          <w:lang w:eastAsia="nl-NL"/>
        </w:rPr>
      </w:pPr>
      <w:r w:rsidRPr="008E33DF">
        <w:rPr>
          <w:rFonts w:asciiTheme="minorHAnsi" w:eastAsia="Times New Roman" w:hAnsiTheme="minorHAnsi" w:cs="Times New Roman"/>
          <w:b/>
          <w:bCs/>
          <w:color w:val="000000"/>
          <w:sz w:val="16"/>
          <w:szCs w:val="16"/>
          <w:lang w:eastAsia="nl-NL"/>
        </w:rPr>
        <w:t xml:space="preserve">Tabel </w:t>
      </w:r>
      <w:r w:rsidR="00C25C96" w:rsidRPr="008E33DF">
        <w:rPr>
          <w:rFonts w:asciiTheme="minorHAnsi" w:eastAsia="Times New Roman" w:hAnsiTheme="minorHAnsi" w:cs="Times New Roman"/>
          <w:b/>
          <w:bCs/>
          <w:color w:val="000000"/>
          <w:sz w:val="16"/>
          <w:szCs w:val="16"/>
          <w:lang w:eastAsia="nl-NL"/>
        </w:rPr>
        <w:t>4, a</w:t>
      </w:r>
      <w:r w:rsidRPr="008E33DF">
        <w:rPr>
          <w:rFonts w:asciiTheme="minorHAnsi" w:eastAsia="Times New Roman" w:hAnsiTheme="minorHAnsi" w:cs="Times New Roman"/>
          <w:b/>
          <w:bCs/>
          <w:color w:val="000000"/>
          <w:sz w:val="16"/>
          <w:szCs w:val="16"/>
          <w:lang w:eastAsia="nl-NL"/>
        </w:rPr>
        <w:t xml:space="preserve">ard van het gehuurde, feiten en omstandigheden, </w:t>
      </w:r>
    </w:p>
    <w:p w:rsidR="00DA0116" w:rsidRPr="008E33DF" w:rsidRDefault="008D7AA7" w:rsidP="00DA0116">
      <w:pPr>
        <w:rPr>
          <w:rFonts w:asciiTheme="minorHAnsi" w:hAnsiTheme="minorHAnsi"/>
          <w:sz w:val="16"/>
          <w:szCs w:val="16"/>
        </w:rPr>
      </w:pPr>
      <w:r w:rsidRPr="008E33DF">
        <w:rPr>
          <w:rFonts w:asciiTheme="minorHAnsi" w:eastAsia="Times New Roman" w:hAnsiTheme="minorHAnsi" w:cs="Times New Roman"/>
          <w:b/>
          <w:bCs/>
          <w:noProof/>
          <w:color w:val="000000"/>
          <w:sz w:val="16"/>
          <w:szCs w:val="16"/>
          <w:lang w:eastAsia="nl-NL"/>
        </w:rPr>
        <w:drawing>
          <wp:anchor distT="0" distB="0" distL="114300" distR="114300" simplePos="0" relativeHeight="251667456" behindDoc="0" locked="0" layoutInCell="1" allowOverlap="1">
            <wp:simplePos x="0" y="0"/>
            <wp:positionH relativeFrom="column">
              <wp:posOffset>2881630</wp:posOffset>
            </wp:positionH>
            <wp:positionV relativeFrom="paragraph">
              <wp:posOffset>176530</wp:posOffset>
            </wp:positionV>
            <wp:extent cx="2943860" cy="2714625"/>
            <wp:effectExtent l="19050" t="0" r="27940" b="0"/>
            <wp:wrapNone/>
            <wp:docPr id="6"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DA0116" w:rsidRPr="008E33DF">
        <w:rPr>
          <w:rFonts w:asciiTheme="minorHAnsi" w:eastAsia="Times New Roman" w:hAnsiTheme="minorHAnsi" w:cs="Times New Roman"/>
          <w:b/>
          <w:bCs/>
          <w:color w:val="000000"/>
          <w:sz w:val="16"/>
          <w:szCs w:val="16"/>
          <w:lang w:eastAsia="nl-NL"/>
        </w:rPr>
        <w:t>beroep op art. 7:232 lid 2</w:t>
      </w:r>
      <w:r w:rsidR="00F26BCD" w:rsidRPr="008E33DF">
        <w:rPr>
          <w:rFonts w:asciiTheme="minorHAnsi" w:eastAsia="Times New Roman" w:hAnsiTheme="minorHAnsi" w:cs="Times New Roman"/>
          <w:b/>
          <w:bCs/>
          <w:color w:val="000000"/>
          <w:sz w:val="16"/>
          <w:szCs w:val="16"/>
          <w:lang w:eastAsia="nl-NL"/>
        </w:rPr>
        <w:t xml:space="preserve"> BW </w:t>
      </w:r>
      <w:r w:rsidR="00DA0116" w:rsidRPr="008E33DF">
        <w:rPr>
          <w:rFonts w:asciiTheme="minorHAnsi" w:eastAsia="Times New Roman" w:hAnsiTheme="minorHAnsi" w:cs="Times New Roman"/>
          <w:b/>
          <w:bCs/>
          <w:color w:val="000000"/>
          <w:sz w:val="16"/>
          <w:szCs w:val="16"/>
          <w:lang w:eastAsia="nl-NL"/>
        </w:rPr>
        <w:t xml:space="preserve"> wordt </w:t>
      </w:r>
      <w:r w:rsidR="000F075E" w:rsidRPr="008E33DF">
        <w:rPr>
          <w:rFonts w:asciiTheme="minorHAnsi" w:eastAsia="Times New Roman" w:hAnsiTheme="minorHAnsi" w:cs="Times New Roman"/>
          <w:b/>
          <w:bCs/>
          <w:color w:val="000000"/>
          <w:sz w:val="16"/>
          <w:szCs w:val="16"/>
          <w:lang w:eastAsia="nl-NL"/>
        </w:rPr>
        <w:t>toegewezen (zie ook bijlage 4</w:t>
      </w:r>
      <w:r w:rsidR="00DA0116" w:rsidRPr="008E33DF">
        <w:rPr>
          <w:rFonts w:asciiTheme="minorHAnsi" w:eastAsia="Times New Roman" w:hAnsiTheme="minorHAnsi" w:cs="Times New Roman"/>
          <w:b/>
          <w:bCs/>
          <w:color w:val="000000"/>
          <w:sz w:val="16"/>
          <w:szCs w:val="16"/>
          <w:lang w:eastAsia="nl-NL"/>
        </w:rPr>
        <w:t>)</w:t>
      </w:r>
    </w:p>
    <w:tbl>
      <w:tblPr>
        <w:tblStyle w:val="Lichtraster1"/>
        <w:tblW w:w="4361" w:type="dxa"/>
        <w:tblInd w:w="108" w:type="dxa"/>
        <w:tblLayout w:type="fixed"/>
        <w:tblLook w:val="04A0"/>
      </w:tblPr>
      <w:tblGrid>
        <w:gridCol w:w="959"/>
        <w:gridCol w:w="567"/>
        <w:gridCol w:w="567"/>
        <w:gridCol w:w="567"/>
        <w:gridCol w:w="567"/>
        <w:gridCol w:w="567"/>
        <w:gridCol w:w="567"/>
      </w:tblGrid>
      <w:tr w:rsidR="00DA0116" w:rsidRPr="008E33DF" w:rsidTr="00DF7AD8">
        <w:trPr>
          <w:cnfStyle w:val="100000000000"/>
        </w:trPr>
        <w:tc>
          <w:tcPr>
            <w:cnfStyle w:val="001000000000"/>
            <w:tcW w:w="4361" w:type="dxa"/>
            <w:gridSpan w:val="7"/>
            <w:vAlign w:val="bottom"/>
          </w:tcPr>
          <w:p w:rsidR="00DA0116" w:rsidRPr="008E33DF" w:rsidRDefault="00DA0116" w:rsidP="00DA0116">
            <w:pPr>
              <w:jc w:val="center"/>
              <w:rPr>
                <w:rFonts w:asciiTheme="minorHAnsi" w:eastAsia="Times New Roman" w:hAnsiTheme="minorHAnsi" w:cs="Times New Roman"/>
                <w:bCs w:val="0"/>
                <w:color w:val="000000"/>
                <w:szCs w:val="20"/>
                <w:lang w:eastAsia="nl-NL"/>
              </w:rPr>
            </w:pPr>
            <w:r w:rsidRPr="008E33DF">
              <w:rPr>
                <w:rFonts w:asciiTheme="minorHAnsi" w:eastAsia="Times New Roman" w:hAnsiTheme="minorHAnsi" w:cs="Times New Roman"/>
                <w:bCs w:val="0"/>
                <w:color w:val="000000"/>
                <w:szCs w:val="20"/>
                <w:lang w:eastAsia="nl-NL"/>
              </w:rPr>
              <w:t>Categorieën</w:t>
            </w:r>
          </w:p>
        </w:tc>
      </w:tr>
      <w:tr w:rsidR="00DA0116" w:rsidRPr="008E33DF" w:rsidTr="00DF7AD8">
        <w:trPr>
          <w:cnfStyle w:val="000000100000"/>
        </w:trPr>
        <w:tc>
          <w:tcPr>
            <w:cnfStyle w:val="001000000000"/>
            <w:tcW w:w="959" w:type="dxa"/>
            <w:tcBorders>
              <w:bottom w:val="single" w:sz="18" w:space="0" w:color="000000" w:themeColor="text1"/>
            </w:tcBorders>
            <w:shd w:val="clear" w:color="auto" w:fill="auto"/>
            <w:vAlign w:val="bottom"/>
          </w:tcPr>
          <w:p w:rsidR="00DA0116" w:rsidRPr="008E33DF" w:rsidRDefault="00DA0116" w:rsidP="008D7AA7">
            <w:pPr>
              <w:spacing w:line="240" w:lineRule="auto"/>
              <w:jc w:val="center"/>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Nummers uitspraken</w:t>
            </w:r>
          </w:p>
        </w:tc>
        <w:tc>
          <w:tcPr>
            <w:tcW w:w="567" w:type="dxa"/>
            <w:tcBorders>
              <w:bottom w:val="single" w:sz="18" w:space="0" w:color="000000" w:themeColor="text1"/>
            </w:tcBorders>
            <w:shd w:val="clear" w:color="auto" w:fill="943634" w:themeFill="accent2" w:themeFillShade="BF"/>
            <w:vAlign w:val="center"/>
          </w:tcPr>
          <w:p w:rsidR="00DA0116" w:rsidRPr="008E33DF" w:rsidRDefault="00DA0116" w:rsidP="008D7AA7">
            <w:pPr>
              <w:spacing w:line="240" w:lineRule="auto"/>
              <w:jc w:val="center"/>
              <w:cnfStyle w:val="000000100000"/>
              <w:rPr>
                <w:rFonts w:asciiTheme="minorHAnsi" w:eastAsia="Times New Roman" w:hAnsiTheme="minorHAnsi" w:cs="Times New Roman"/>
                <w:color w:val="0F253F"/>
                <w:sz w:val="12"/>
                <w:szCs w:val="12"/>
                <w:lang w:eastAsia="nl-NL"/>
              </w:rPr>
            </w:pPr>
          </w:p>
        </w:tc>
        <w:tc>
          <w:tcPr>
            <w:tcW w:w="567" w:type="dxa"/>
            <w:tcBorders>
              <w:bottom w:val="single" w:sz="18" w:space="0" w:color="000000" w:themeColor="text1"/>
            </w:tcBorders>
            <w:shd w:val="clear" w:color="auto" w:fill="31849B" w:themeFill="accent5" w:themeFillShade="BF"/>
            <w:vAlign w:val="center"/>
          </w:tcPr>
          <w:p w:rsidR="00DA0116" w:rsidRPr="008E33DF" w:rsidRDefault="00DA0116" w:rsidP="008D7AA7">
            <w:pPr>
              <w:spacing w:line="240" w:lineRule="auto"/>
              <w:jc w:val="center"/>
              <w:cnfStyle w:val="000000100000"/>
              <w:rPr>
                <w:rFonts w:asciiTheme="minorHAnsi" w:eastAsia="Times New Roman" w:hAnsiTheme="minorHAnsi" w:cs="Times New Roman"/>
                <w:color w:val="4F6228"/>
                <w:sz w:val="12"/>
                <w:szCs w:val="12"/>
                <w:lang w:eastAsia="nl-NL"/>
              </w:rPr>
            </w:pPr>
          </w:p>
        </w:tc>
        <w:tc>
          <w:tcPr>
            <w:tcW w:w="567" w:type="dxa"/>
            <w:tcBorders>
              <w:bottom w:val="single" w:sz="18" w:space="0" w:color="000000" w:themeColor="text1"/>
            </w:tcBorders>
            <w:shd w:val="clear" w:color="auto" w:fill="00B050"/>
            <w:vAlign w:val="center"/>
          </w:tcPr>
          <w:p w:rsidR="00DA0116" w:rsidRPr="008E33DF" w:rsidRDefault="00DA0116" w:rsidP="008D7AA7">
            <w:pPr>
              <w:spacing w:line="240" w:lineRule="auto"/>
              <w:jc w:val="center"/>
              <w:cnfStyle w:val="000000100000"/>
              <w:rPr>
                <w:rFonts w:asciiTheme="minorHAnsi" w:eastAsia="Times New Roman" w:hAnsiTheme="minorHAnsi" w:cs="Times New Roman"/>
                <w:color w:val="974807"/>
                <w:sz w:val="12"/>
                <w:szCs w:val="12"/>
                <w:lang w:eastAsia="nl-NL"/>
              </w:rPr>
            </w:pPr>
          </w:p>
        </w:tc>
        <w:tc>
          <w:tcPr>
            <w:tcW w:w="567" w:type="dxa"/>
            <w:tcBorders>
              <w:bottom w:val="single" w:sz="18" w:space="0" w:color="000000" w:themeColor="text1"/>
            </w:tcBorders>
            <w:shd w:val="clear" w:color="auto" w:fill="FF0000"/>
            <w:vAlign w:val="center"/>
          </w:tcPr>
          <w:p w:rsidR="00DA0116" w:rsidRPr="008E33DF" w:rsidRDefault="00DA0116" w:rsidP="008D7AA7">
            <w:pPr>
              <w:spacing w:line="240" w:lineRule="auto"/>
              <w:jc w:val="center"/>
              <w:cnfStyle w:val="000000100000"/>
              <w:rPr>
                <w:rFonts w:asciiTheme="minorHAnsi" w:eastAsia="Times New Roman" w:hAnsiTheme="minorHAnsi" w:cs="Times New Roman"/>
                <w:color w:val="FF0000"/>
                <w:sz w:val="12"/>
                <w:szCs w:val="12"/>
                <w:lang w:eastAsia="nl-NL"/>
              </w:rPr>
            </w:pPr>
          </w:p>
        </w:tc>
        <w:tc>
          <w:tcPr>
            <w:tcW w:w="567" w:type="dxa"/>
            <w:tcBorders>
              <w:bottom w:val="single" w:sz="18" w:space="0" w:color="000000" w:themeColor="text1"/>
            </w:tcBorders>
            <w:shd w:val="clear" w:color="auto" w:fill="808080" w:themeFill="background1" w:themeFillShade="80"/>
            <w:vAlign w:val="center"/>
          </w:tcPr>
          <w:p w:rsidR="00DA0116" w:rsidRPr="008E33DF" w:rsidRDefault="00DA0116" w:rsidP="008D7AA7">
            <w:pPr>
              <w:spacing w:line="240" w:lineRule="auto"/>
              <w:jc w:val="center"/>
              <w:cnfStyle w:val="000000100000"/>
              <w:rPr>
                <w:rFonts w:asciiTheme="minorHAnsi" w:eastAsia="Times New Roman" w:hAnsiTheme="minorHAnsi" w:cs="Times New Roman"/>
                <w:color w:val="7030A0"/>
                <w:sz w:val="12"/>
                <w:szCs w:val="12"/>
                <w:lang w:eastAsia="nl-NL"/>
              </w:rPr>
            </w:pPr>
          </w:p>
        </w:tc>
        <w:tc>
          <w:tcPr>
            <w:tcW w:w="567" w:type="dxa"/>
            <w:tcBorders>
              <w:bottom w:val="single" w:sz="18" w:space="0" w:color="000000" w:themeColor="text1"/>
            </w:tcBorders>
            <w:shd w:val="clear" w:color="auto" w:fill="auto"/>
            <w:vAlign w:val="bottom"/>
          </w:tcPr>
          <w:p w:rsidR="00DA0116" w:rsidRPr="008E33DF" w:rsidRDefault="00DA0116" w:rsidP="008D7AA7">
            <w:pPr>
              <w:spacing w:line="240" w:lineRule="auto"/>
              <w:jc w:val="center"/>
              <w:cnfStyle w:val="000000100000"/>
              <w:rPr>
                <w:rFonts w:asciiTheme="minorHAnsi" w:hAnsiTheme="minorHAnsi"/>
                <w:sz w:val="12"/>
                <w:szCs w:val="12"/>
              </w:rPr>
            </w:pPr>
          </w:p>
        </w:tc>
      </w:tr>
      <w:tr w:rsidR="00DA0116" w:rsidRPr="008E33DF" w:rsidTr="00DF7AD8">
        <w:trPr>
          <w:cnfStyle w:val="000000010000"/>
        </w:trPr>
        <w:tc>
          <w:tcPr>
            <w:cnfStyle w:val="001000000000"/>
            <w:tcW w:w="959" w:type="dxa"/>
            <w:tcBorders>
              <w:top w:val="single" w:sz="18" w:space="0" w:color="000000" w:themeColor="text1"/>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4</w:t>
            </w:r>
          </w:p>
        </w:tc>
        <w:tc>
          <w:tcPr>
            <w:tcW w:w="567" w:type="dxa"/>
            <w:tcBorders>
              <w:top w:val="single" w:sz="18" w:space="0" w:color="000000" w:themeColor="text1"/>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single" w:sz="18" w:space="0" w:color="000000" w:themeColor="text1"/>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010000"/>
              <w:rPr>
                <w:rFonts w:asciiTheme="minorHAnsi" w:hAnsiTheme="minorHAnsi"/>
                <w:b/>
                <w:sz w:val="12"/>
                <w:szCs w:val="12"/>
              </w:rPr>
            </w:pPr>
          </w:p>
        </w:tc>
      </w:tr>
      <w:tr w:rsidR="00DA0116" w:rsidRPr="008E33DF" w:rsidTr="00DF7AD8">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8</w:t>
            </w:r>
          </w:p>
        </w:tc>
        <w:tc>
          <w:tcPr>
            <w:tcW w:w="567"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100000"/>
              <w:rPr>
                <w:rFonts w:asciiTheme="minorHAnsi" w:hAnsiTheme="minorHAnsi"/>
                <w:b/>
                <w:sz w:val="12"/>
                <w:szCs w:val="12"/>
              </w:rPr>
            </w:pPr>
          </w:p>
        </w:tc>
      </w:tr>
      <w:tr w:rsidR="00DA0116" w:rsidRPr="008E33DF" w:rsidTr="00DF7AD8">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10</w:t>
            </w:r>
          </w:p>
        </w:tc>
        <w:tc>
          <w:tcPr>
            <w:tcW w:w="567"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010000"/>
              <w:rPr>
                <w:rFonts w:asciiTheme="minorHAnsi" w:hAnsiTheme="minorHAnsi"/>
                <w:b/>
                <w:sz w:val="12"/>
                <w:szCs w:val="12"/>
              </w:rPr>
            </w:pPr>
          </w:p>
        </w:tc>
      </w:tr>
      <w:tr w:rsidR="00DA0116" w:rsidRPr="008E33DF" w:rsidTr="00DF7AD8">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12</w:t>
            </w:r>
          </w:p>
        </w:tc>
        <w:tc>
          <w:tcPr>
            <w:tcW w:w="567"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100000"/>
              <w:rPr>
                <w:rFonts w:asciiTheme="minorHAnsi" w:hAnsiTheme="minorHAnsi"/>
                <w:b/>
                <w:sz w:val="12"/>
                <w:szCs w:val="12"/>
              </w:rPr>
            </w:pPr>
          </w:p>
        </w:tc>
      </w:tr>
      <w:tr w:rsidR="00DA0116" w:rsidRPr="008E33DF" w:rsidTr="00DF7AD8">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16</w:t>
            </w:r>
          </w:p>
        </w:tc>
        <w:tc>
          <w:tcPr>
            <w:tcW w:w="567"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010000"/>
              <w:rPr>
                <w:rFonts w:asciiTheme="minorHAnsi" w:hAnsiTheme="minorHAnsi"/>
                <w:b/>
                <w:sz w:val="12"/>
                <w:szCs w:val="12"/>
              </w:rPr>
            </w:pPr>
          </w:p>
        </w:tc>
      </w:tr>
      <w:tr w:rsidR="00DA0116" w:rsidRPr="008E33DF" w:rsidTr="00DF7AD8">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21</w:t>
            </w:r>
          </w:p>
        </w:tc>
        <w:tc>
          <w:tcPr>
            <w:tcW w:w="567"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100000"/>
              <w:rPr>
                <w:rFonts w:asciiTheme="minorHAnsi" w:hAnsiTheme="minorHAnsi"/>
                <w:b/>
                <w:sz w:val="12"/>
                <w:szCs w:val="12"/>
              </w:rPr>
            </w:pPr>
          </w:p>
        </w:tc>
      </w:tr>
      <w:tr w:rsidR="00DA0116" w:rsidRPr="008E33DF" w:rsidTr="00DF7AD8">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25</w:t>
            </w:r>
          </w:p>
        </w:tc>
        <w:tc>
          <w:tcPr>
            <w:tcW w:w="567"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010000"/>
              <w:rPr>
                <w:rFonts w:asciiTheme="minorHAnsi" w:hAnsiTheme="minorHAnsi"/>
                <w:b/>
                <w:sz w:val="12"/>
                <w:szCs w:val="12"/>
              </w:rPr>
            </w:pPr>
          </w:p>
        </w:tc>
      </w:tr>
      <w:tr w:rsidR="00DA0116" w:rsidRPr="008E33DF" w:rsidTr="00DF7AD8">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28</w:t>
            </w:r>
          </w:p>
        </w:tc>
        <w:tc>
          <w:tcPr>
            <w:tcW w:w="567"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100000"/>
              <w:rPr>
                <w:rFonts w:asciiTheme="minorHAnsi" w:hAnsiTheme="minorHAnsi"/>
                <w:b/>
                <w:sz w:val="12"/>
                <w:szCs w:val="12"/>
              </w:rPr>
            </w:pPr>
          </w:p>
        </w:tc>
      </w:tr>
      <w:tr w:rsidR="00DA0116" w:rsidRPr="008E33DF" w:rsidTr="00DF7AD8">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29</w:t>
            </w:r>
          </w:p>
        </w:tc>
        <w:tc>
          <w:tcPr>
            <w:tcW w:w="567"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010000"/>
              <w:rPr>
                <w:rFonts w:asciiTheme="minorHAnsi" w:hAnsiTheme="minorHAnsi"/>
                <w:b/>
                <w:sz w:val="12"/>
                <w:szCs w:val="12"/>
              </w:rPr>
            </w:pPr>
          </w:p>
        </w:tc>
      </w:tr>
      <w:tr w:rsidR="00DA0116" w:rsidRPr="008E33DF" w:rsidTr="00DF7AD8">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31</w:t>
            </w:r>
          </w:p>
        </w:tc>
        <w:tc>
          <w:tcPr>
            <w:tcW w:w="567"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100000"/>
              <w:rPr>
                <w:rFonts w:asciiTheme="minorHAnsi" w:hAnsiTheme="minorHAnsi"/>
                <w:b/>
                <w:sz w:val="12"/>
                <w:szCs w:val="12"/>
              </w:rPr>
            </w:pPr>
          </w:p>
        </w:tc>
      </w:tr>
      <w:tr w:rsidR="00DA0116" w:rsidRPr="008E33DF" w:rsidTr="00DF7AD8">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33</w:t>
            </w:r>
          </w:p>
        </w:tc>
        <w:tc>
          <w:tcPr>
            <w:tcW w:w="567"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010000"/>
              <w:rPr>
                <w:rFonts w:asciiTheme="minorHAnsi" w:hAnsiTheme="minorHAnsi"/>
                <w:b/>
                <w:sz w:val="12"/>
                <w:szCs w:val="12"/>
              </w:rPr>
            </w:pPr>
          </w:p>
        </w:tc>
      </w:tr>
      <w:tr w:rsidR="00DA0116" w:rsidRPr="008E33DF" w:rsidTr="00DF7AD8">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36</w:t>
            </w:r>
          </w:p>
        </w:tc>
        <w:tc>
          <w:tcPr>
            <w:tcW w:w="567"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100000"/>
              <w:rPr>
                <w:rFonts w:asciiTheme="minorHAnsi" w:hAnsiTheme="minorHAnsi"/>
                <w:b/>
                <w:sz w:val="12"/>
                <w:szCs w:val="12"/>
              </w:rPr>
            </w:pPr>
          </w:p>
        </w:tc>
      </w:tr>
      <w:tr w:rsidR="00DA0116" w:rsidRPr="008E33DF" w:rsidTr="00DF7AD8">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37</w:t>
            </w:r>
          </w:p>
        </w:tc>
        <w:tc>
          <w:tcPr>
            <w:tcW w:w="567" w:type="dxa"/>
            <w:tcBorders>
              <w:top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single" w:sz="18" w:space="0" w:color="000000" w:themeColor="text1"/>
              <w:bottom w:val="dotted" w:sz="4" w:space="0" w:color="auto"/>
              <w:right w:val="single" w:sz="18" w:space="0" w:color="000000" w:themeColor="text1"/>
            </w:tcBorders>
            <w:vAlign w:val="center"/>
          </w:tcPr>
          <w:p w:rsidR="00DA0116" w:rsidRPr="008E33DF" w:rsidRDefault="00DA0116" w:rsidP="008D7AA7">
            <w:pPr>
              <w:spacing w:line="240" w:lineRule="auto"/>
              <w:jc w:val="center"/>
              <w:cnfStyle w:val="000000010000"/>
              <w:rPr>
                <w:rFonts w:asciiTheme="minorHAnsi" w:hAnsiTheme="minorHAnsi"/>
                <w:b/>
                <w:sz w:val="12"/>
                <w:szCs w:val="12"/>
              </w:rPr>
            </w:pPr>
          </w:p>
        </w:tc>
      </w:tr>
      <w:tr w:rsidR="00DA0116" w:rsidRPr="008E33DF" w:rsidTr="00DF7AD8">
        <w:trPr>
          <w:cnfStyle w:val="000000100000"/>
        </w:trPr>
        <w:tc>
          <w:tcPr>
            <w:cnfStyle w:val="001000000000"/>
            <w:tcW w:w="959" w:type="dxa"/>
            <w:tcBorders>
              <w:top w:val="dotted" w:sz="4" w:space="0" w:color="auto"/>
              <w:bottom w:val="single" w:sz="18" w:space="0" w:color="000000" w:themeColor="text1"/>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40</w:t>
            </w:r>
          </w:p>
        </w:tc>
        <w:tc>
          <w:tcPr>
            <w:tcW w:w="567" w:type="dxa"/>
            <w:tcBorders>
              <w:top w:val="dotted" w:sz="4" w:space="0" w:color="auto"/>
              <w:bottom w:val="single" w:sz="18" w:space="0" w:color="000000" w:themeColor="text1"/>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single" w:sz="18" w:space="0" w:color="000000" w:themeColor="text1"/>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single" w:sz="18" w:space="0" w:color="000000" w:themeColor="text1"/>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single" w:sz="18" w:space="0" w:color="000000" w:themeColor="text1"/>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single" w:sz="18" w:space="0" w:color="000000" w:themeColor="text1"/>
              <w:right w:val="dotted" w:sz="4" w:space="0" w:color="auto"/>
            </w:tcBorders>
            <w:vAlign w:val="center"/>
          </w:tcPr>
          <w:p w:rsidR="00DA0116" w:rsidRPr="008E33DF" w:rsidRDefault="00DA0116"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single" w:sz="18" w:space="0" w:color="000000" w:themeColor="text1"/>
              <w:bottom w:val="single" w:sz="18" w:space="0" w:color="000000" w:themeColor="text1"/>
              <w:right w:val="single" w:sz="18" w:space="0" w:color="000000" w:themeColor="text1"/>
            </w:tcBorders>
            <w:vAlign w:val="center"/>
          </w:tcPr>
          <w:p w:rsidR="00DA0116" w:rsidRPr="008E33DF" w:rsidRDefault="00DA0116" w:rsidP="008D7AA7">
            <w:pPr>
              <w:spacing w:line="240" w:lineRule="auto"/>
              <w:jc w:val="center"/>
              <w:cnfStyle w:val="000000100000"/>
              <w:rPr>
                <w:rFonts w:asciiTheme="minorHAnsi" w:hAnsiTheme="minorHAnsi"/>
                <w:b/>
                <w:sz w:val="12"/>
                <w:szCs w:val="12"/>
              </w:rPr>
            </w:pPr>
          </w:p>
        </w:tc>
      </w:tr>
      <w:tr w:rsidR="00DA0116" w:rsidRPr="008E33DF" w:rsidTr="00DF7AD8">
        <w:trPr>
          <w:cnfStyle w:val="000000010000"/>
        </w:trPr>
        <w:tc>
          <w:tcPr>
            <w:cnfStyle w:val="001000000000"/>
            <w:tcW w:w="959" w:type="dxa"/>
            <w:tcBorders>
              <w:top w:val="single" w:sz="18" w:space="0" w:color="000000" w:themeColor="text1"/>
              <w:left w:val="single" w:sz="18" w:space="0" w:color="000000" w:themeColor="text1"/>
              <w:bottom w:val="single" w:sz="18" w:space="0" w:color="000000" w:themeColor="text1"/>
              <w:right w:val="dotted" w:sz="4" w:space="0" w:color="auto"/>
            </w:tcBorders>
            <w:vAlign w:val="center"/>
          </w:tcPr>
          <w:p w:rsidR="00DA0116" w:rsidRPr="008E33DF" w:rsidRDefault="00DA0116" w:rsidP="008D7AA7">
            <w:pPr>
              <w:spacing w:line="240" w:lineRule="auto"/>
              <w:jc w:val="center"/>
              <w:rPr>
                <w:rFonts w:asciiTheme="minorHAnsi" w:hAnsiTheme="minorHAnsi"/>
                <w:sz w:val="12"/>
                <w:szCs w:val="12"/>
              </w:rPr>
            </w:pPr>
            <w:r w:rsidRPr="008E33DF">
              <w:rPr>
                <w:rFonts w:asciiTheme="minorHAnsi" w:hAnsiTheme="minorHAnsi"/>
                <w:sz w:val="12"/>
                <w:szCs w:val="12"/>
              </w:rPr>
              <w:t>15</w:t>
            </w:r>
          </w:p>
        </w:tc>
        <w:tc>
          <w:tcPr>
            <w:tcW w:w="567" w:type="dxa"/>
            <w:tcBorders>
              <w:top w:val="single" w:sz="18" w:space="0" w:color="000000" w:themeColor="text1"/>
              <w:bottom w:val="single" w:sz="18" w:space="0" w:color="000000" w:themeColor="text1"/>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10</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1</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1</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DA0116" w:rsidRPr="008E33DF" w:rsidRDefault="00DA0116" w:rsidP="008D7AA7">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3</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DA0116" w:rsidRPr="008E33DF" w:rsidRDefault="00F7062E" w:rsidP="008D7AA7">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2</w:t>
            </w:r>
          </w:p>
        </w:tc>
        <w:tc>
          <w:tcPr>
            <w:tcW w:w="567" w:type="dxa"/>
            <w:tcBorders>
              <w:top w:val="single" w:sz="18" w:space="0" w:color="000000" w:themeColor="text1"/>
              <w:left w:val="single" w:sz="18" w:space="0" w:color="000000" w:themeColor="text1"/>
              <w:bottom w:val="single" w:sz="18" w:space="0" w:color="000000" w:themeColor="text1"/>
              <w:right w:val="single" w:sz="12" w:space="0" w:color="000000" w:themeColor="text1"/>
            </w:tcBorders>
            <w:vAlign w:val="center"/>
          </w:tcPr>
          <w:p w:rsidR="00DA0116" w:rsidRPr="008E33DF" w:rsidRDefault="00DA0116" w:rsidP="008D7AA7">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Totaal</w:t>
            </w:r>
          </w:p>
        </w:tc>
      </w:tr>
      <w:tr w:rsidR="00DA0116" w:rsidRPr="008E33DF" w:rsidTr="00DF7AD8">
        <w:trPr>
          <w:cnfStyle w:val="000000100000"/>
        </w:trPr>
        <w:tc>
          <w:tcPr>
            <w:cnfStyle w:val="001000000000"/>
            <w:tcW w:w="959" w:type="dxa"/>
            <w:tcBorders>
              <w:top w:val="single" w:sz="18" w:space="0" w:color="000000" w:themeColor="text1"/>
              <w:right w:val="dotted" w:sz="4" w:space="0" w:color="auto"/>
            </w:tcBorders>
            <w:shd w:val="clear" w:color="auto" w:fill="943634" w:themeFill="accent2" w:themeFillShade="BF"/>
            <w:vAlign w:val="center"/>
          </w:tcPr>
          <w:p w:rsidR="00DA0116" w:rsidRPr="008E33DF" w:rsidRDefault="00DA0116" w:rsidP="008D7AA7">
            <w:pPr>
              <w:spacing w:line="240" w:lineRule="auto"/>
              <w:jc w:val="center"/>
              <w:rPr>
                <w:rFonts w:asciiTheme="minorHAnsi" w:hAnsiTheme="minorHAnsi"/>
                <w:sz w:val="16"/>
                <w:szCs w:val="16"/>
              </w:rPr>
            </w:pPr>
          </w:p>
        </w:tc>
        <w:tc>
          <w:tcPr>
            <w:tcW w:w="3402" w:type="dxa"/>
            <w:gridSpan w:val="6"/>
            <w:tcBorders>
              <w:top w:val="single" w:sz="18" w:space="0" w:color="000000" w:themeColor="text1"/>
            </w:tcBorders>
            <w:shd w:val="clear" w:color="auto" w:fill="auto"/>
            <w:vAlign w:val="bottom"/>
          </w:tcPr>
          <w:p w:rsidR="00DA0116" w:rsidRPr="008E33DF" w:rsidRDefault="00DA0116" w:rsidP="008D7AA7">
            <w:pPr>
              <w:spacing w:line="240" w:lineRule="auto"/>
              <w:cnfStyle w:val="000000100000"/>
              <w:rPr>
                <w:rFonts w:asciiTheme="minorHAnsi" w:hAnsiTheme="minorHAnsi"/>
                <w:b/>
                <w:sz w:val="12"/>
                <w:szCs w:val="12"/>
              </w:rPr>
            </w:pPr>
            <w:r w:rsidRPr="008E33DF">
              <w:rPr>
                <w:rFonts w:asciiTheme="minorHAnsi" w:hAnsiTheme="minorHAnsi"/>
                <w:b/>
                <w:sz w:val="12"/>
                <w:szCs w:val="12"/>
              </w:rPr>
              <w:t>Geschiktheid van de woonruimte voor permanent verblijf</w:t>
            </w:r>
          </w:p>
        </w:tc>
      </w:tr>
      <w:tr w:rsidR="00DA0116" w:rsidRPr="008E33DF" w:rsidTr="00DF7AD8">
        <w:trPr>
          <w:cnfStyle w:val="000000010000"/>
        </w:trPr>
        <w:tc>
          <w:tcPr>
            <w:cnfStyle w:val="001000000000"/>
            <w:tcW w:w="959" w:type="dxa"/>
            <w:tcBorders>
              <w:right w:val="dotted" w:sz="4" w:space="0" w:color="auto"/>
            </w:tcBorders>
            <w:shd w:val="clear" w:color="auto" w:fill="31849B" w:themeFill="accent5" w:themeFillShade="BF"/>
            <w:vAlign w:val="center"/>
          </w:tcPr>
          <w:p w:rsidR="00DA0116" w:rsidRPr="008E33DF" w:rsidRDefault="00DA0116" w:rsidP="008D7AA7">
            <w:pPr>
              <w:spacing w:line="240" w:lineRule="auto"/>
              <w:jc w:val="center"/>
              <w:rPr>
                <w:rFonts w:asciiTheme="minorHAnsi" w:hAnsiTheme="minorHAnsi"/>
                <w:sz w:val="16"/>
                <w:szCs w:val="16"/>
              </w:rPr>
            </w:pPr>
          </w:p>
        </w:tc>
        <w:tc>
          <w:tcPr>
            <w:tcW w:w="3402" w:type="dxa"/>
            <w:gridSpan w:val="6"/>
            <w:shd w:val="clear" w:color="auto" w:fill="auto"/>
            <w:vAlign w:val="bottom"/>
          </w:tcPr>
          <w:p w:rsidR="00DA0116" w:rsidRPr="008E33DF" w:rsidRDefault="00DA0116" w:rsidP="008D7AA7">
            <w:pPr>
              <w:spacing w:line="240" w:lineRule="auto"/>
              <w:cnfStyle w:val="000000010000"/>
              <w:rPr>
                <w:rFonts w:asciiTheme="minorHAnsi" w:hAnsiTheme="minorHAnsi"/>
                <w:b/>
                <w:sz w:val="12"/>
                <w:szCs w:val="12"/>
              </w:rPr>
            </w:pPr>
            <w:r w:rsidRPr="008E33DF">
              <w:rPr>
                <w:rFonts w:asciiTheme="minorHAnsi" w:hAnsiTheme="minorHAnsi"/>
                <w:b/>
                <w:sz w:val="12"/>
                <w:szCs w:val="12"/>
              </w:rPr>
              <w:t>Recreatiewoning</w:t>
            </w:r>
          </w:p>
        </w:tc>
      </w:tr>
      <w:tr w:rsidR="00DA0116" w:rsidRPr="008E33DF" w:rsidTr="00DF7AD8">
        <w:trPr>
          <w:cnfStyle w:val="000000100000"/>
        </w:trPr>
        <w:tc>
          <w:tcPr>
            <w:cnfStyle w:val="001000000000"/>
            <w:tcW w:w="959" w:type="dxa"/>
            <w:tcBorders>
              <w:right w:val="dotted" w:sz="4" w:space="0" w:color="auto"/>
            </w:tcBorders>
            <w:shd w:val="clear" w:color="auto" w:fill="00B050"/>
            <w:vAlign w:val="center"/>
          </w:tcPr>
          <w:p w:rsidR="00DA0116" w:rsidRPr="008E33DF" w:rsidRDefault="00DA0116" w:rsidP="008D7AA7">
            <w:pPr>
              <w:spacing w:line="240" w:lineRule="auto"/>
              <w:jc w:val="center"/>
              <w:rPr>
                <w:rFonts w:asciiTheme="minorHAnsi" w:hAnsiTheme="minorHAnsi"/>
                <w:sz w:val="16"/>
                <w:szCs w:val="16"/>
              </w:rPr>
            </w:pPr>
          </w:p>
        </w:tc>
        <w:tc>
          <w:tcPr>
            <w:tcW w:w="3402" w:type="dxa"/>
            <w:gridSpan w:val="6"/>
            <w:shd w:val="clear" w:color="auto" w:fill="auto"/>
            <w:vAlign w:val="bottom"/>
          </w:tcPr>
          <w:p w:rsidR="00DA0116" w:rsidRPr="008E33DF" w:rsidRDefault="00DA0116" w:rsidP="008D7AA7">
            <w:pPr>
              <w:spacing w:line="240" w:lineRule="auto"/>
              <w:cnfStyle w:val="000000100000"/>
              <w:rPr>
                <w:rFonts w:asciiTheme="minorHAnsi" w:hAnsiTheme="minorHAnsi"/>
                <w:b/>
                <w:sz w:val="12"/>
                <w:szCs w:val="12"/>
              </w:rPr>
            </w:pPr>
            <w:r w:rsidRPr="008E33DF">
              <w:rPr>
                <w:rFonts w:asciiTheme="minorHAnsi" w:hAnsiTheme="minorHAnsi"/>
                <w:b/>
                <w:sz w:val="12"/>
                <w:szCs w:val="12"/>
              </w:rPr>
              <w:t>Wisselwoning</w:t>
            </w:r>
          </w:p>
        </w:tc>
      </w:tr>
      <w:tr w:rsidR="00DA0116" w:rsidRPr="008E33DF" w:rsidTr="00DF7AD8">
        <w:trPr>
          <w:cnfStyle w:val="000000010000"/>
        </w:trPr>
        <w:tc>
          <w:tcPr>
            <w:cnfStyle w:val="001000000000"/>
            <w:tcW w:w="959" w:type="dxa"/>
            <w:tcBorders>
              <w:right w:val="dotted" w:sz="4" w:space="0" w:color="auto"/>
            </w:tcBorders>
            <w:shd w:val="clear" w:color="auto" w:fill="FF0000"/>
            <w:vAlign w:val="center"/>
          </w:tcPr>
          <w:p w:rsidR="00DA0116" w:rsidRPr="008E33DF" w:rsidRDefault="00DA0116" w:rsidP="008D7AA7">
            <w:pPr>
              <w:spacing w:line="240" w:lineRule="auto"/>
              <w:jc w:val="center"/>
              <w:rPr>
                <w:rFonts w:asciiTheme="minorHAnsi" w:hAnsiTheme="minorHAnsi"/>
                <w:sz w:val="16"/>
                <w:szCs w:val="16"/>
              </w:rPr>
            </w:pPr>
          </w:p>
        </w:tc>
        <w:tc>
          <w:tcPr>
            <w:tcW w:w="3402" w:type="dxa"/>
            <w:gridSpan w:val="6"/>
            <w:shd w:val="clear" w:color="auto" w:fill="auto"/>
            <w:vAlign w:val="bottom"/>
          </w:tcPr>
          <w:p w:rsidR="00DA0116" w:rsidRPr="008E33DF" w:rsidRDefault="00DA0116" w:rsidP="008D7AA7">
            <w:pPr>
              <w:spacing w:line="240" w:lineRule="auto"/>
              <w:cnfStyle w:val="000000010000"/>
              <w:rPr>
                <w:rFonts w:asciiTheme="minorHAnsi" w:hAnsiTheme="minorHAnsi"/>
                <w:b/>
                <w:sz w:val="12"/>
                <w:szCs w:val="12"/>
              </w:rPr>
            </w:pPr>
            <w:r w:rsidRPr="008E33DF">
              <w:rPr>
                <w:rFonts w:asciiTheme="minorHAnsi" w:hAnsiTheme="minorHAnsi"/>
                <w:b/>
                <w:sz w:val="12"/>
                <w:szCs w:val="12"/>
              </w:rPr>
              <w:t>Gemeubileerde woonruimte</w:t>
            </w:r>
          </w:p>
        </w:tc>
      </w:tr>
      <w:tr w:rsidR="00DA0116" w:rsidRPr="008E33DF" w:rsidTr="00DF7AD8">
        <w:trPr>
          <w:cnfStyle w:val="000000100000"/>
        </w:trPr>
        <w:tc>
          <w:tcPr>
            <w:cnfStyle w:val="001000000000"/>
            <w:tcW w:w="959" w:type="dxa"/>
            <w:tcBorders>
              <w:right w:val="dotted" w:sz="4" w:space="0" w:color="auto"/>
            </w:tcBorders>
            <w:shd w:val="clear" w:color="auto" w:fill="808080" w:themeFill="background1" w:themeFillShade="80"/>
            <w:vAlign w:val="center"/>
          </w:tcPr>
          <w:p w:rsidR="00DA0116" w:rsidRPr="008E33DF" w:rsidRDefault="00DA0116" w:rsidP="008D7AA7">
            <w:pPr>
              <w:spacing w:line="240" w:lineRule="auto"/>
              <w:jc w:val="center"/>
              <w:rPr>
                <w:rFonts w:asciiTheme="minorHAnsi" w:hAnsiTheme="minorHAnsi"/>
                <w:sz w:val="16"/>
                <w:szCs w:val="16"/>
              </w:rPr>
            </w:pPr>
          </w:p>
        </w:tc>
        <w:tc>
          <w:tcPr>
            <w:tcW w:w="3402" w:type="dxa"/>
            <w:gridSpan w:val="6"/>
            <w:shd w:val="clear" w:color="auto" w:fill="auto"/>
            <w:vAlign w:val="bottom"/>
          </w:tcPr>
          <w:p w:rsidR="00DA0116" w:rsidRPr="008E33DF" w:rsidRDefault="00DA0116" w:rsidP="008D7AA7">
            <w:pPr>
              <w:spacing w:line="240" w:lineRule="auto"/>
              <w:cnfStyle w:val="000000100000"/>
              <w:rPr>
                <w:rFonts w:asciiTheme="minorHAnsi" w:hAnsiTheme="minorHAnsi"/>
                <w:b/>
                <w:sz w:val="12"/>
                <w:szCs w:val="12"/>
              </w:rPr>
            </w:pPr>
            <w:r w:rsidRPr="008E33DF">
              <w:rPr>
                <w:rFonts w:asciiTheme="minorHAnsi" w:hAnsiTheme="minorHAnsi"/>
                <w:b/>
                <w:sz w:val="12"/>
                <w:szCs w:val="12"/>
              </w:rPr>
              <w:t>Overig</w:t>
            </w:r>
          </w:p>
        </w:tc>
      </w:tr>
    </w:tbl>
    <w:p w:rsidR="00704F63" w:rsidRPr="008E33DF" w:rsidRDefault="00DF7AD8" w:rsidP="00704F63">
      <w:pPr>
        <w:rPr>
          <w:rFonts w:cs="Helvetica"/>
          <w:szCs w:val="20"/>
        </w:rPr>
      </w:pPr>
      <w:r w:rsidRPr="008E33DF">
        <w:rPr>
          <w:rFonts w:cs="Helvetica"/>
          <w:szCs w:val="20"/>
        </w:rPr>
        <w:lastRenderedPageBreak/>
        <w:t xml:space="preserve">Tabel 4 bevat de feiten en omstandigheden </w:t>
      </w:r>
      <w:r w:rsidR="00F62897" w:rsidRPr="008E33DF">
        <w:rPr>
          <w:rFonts w:cs="Helvetica"/>
          <w:szCs w:val="20"/>
        </w:rPr>
        <w:t xml:space="preserve">die van belang zijn voor de rechter bij het toetsen op de aard van het gehuurde </w:t>
      </w:r>
      <w:r w:rsidRPr="008E33DF">
        <w:rPr>
          <w:rFonts w:cs="Helvetica"/>
          <w:szCs w:val="20"/>
        </w:rPr>
        <w:t xml:space="preserve">van de uitspraken waarbij het beroep op art. 7:232 lid 2 BW wordt toegewezen. </w:t>
      </w:r>
      <w:r w:rsidR="007F4AD2" w:rsidRPr="008E33DF">
        <w:rPr>
          <w:rFonts w:cs="Helvetica"/>
          <w:szCs w:val="20"/>
        </w:rPr>
        <w:t xml:space="preserve">Uit de </w:t>
      </w:r>
      <w:r w:rsidR="00040463" w:rsidRPr="008E33DF">
        <w:rPr>
          <w:rFonts w:cs="Helvetica"/>
          <w:szCs w:val="20"/>
        </w:rPr>
        <w:t>tabel</w:t>
      </w:r>
      <w:r w:rsidR="000F054C" w:rsidRPr="008E33DF">
        <w:rPr>
          <w:rFonts w:cs="Helvetica"/>
          <w:szCs w:val="20"/>
        </w:rPr>
        <w:t xml:space="preserve"> </w:t>
      </w:r>
      <w:r w:rsidR="00DA4A3D" w:rsidRPr="008E33DF">
        <w:rPr>
          <w:rFonts w:cs="Helvetica"/>
          <w:szCs w:val="20"/>
        </w:rPr>
        <w:t xml:space="preserve">valt </w:t>
      </w:r>
      <w:r w:rsidR="00040463" w:rsidRPr="008E33DF">
        <w:rPr>
          <w:rFonts w:cs="Helvetica"/>
          <w:szCs w:val="20"/>
        </w:rPr>
        <w:t>af</w:t>
      </w:r>
      <w:r w:rsidR="00DA4A3D" w:rsidRPr="008E33DF">
        <w:rPr>
          <w:rFonts w:cs="Helvetica"/>
          <w:szCs w:val="20"/>
        </w:rPr>
        <w:t xml:space="preserve"> te </w:t>
      </w:r>
      <w:r w:rsidR="003B5281" w:rsidRPr="008E33DF">
        <w:rPr>
          <w:rFonts w:cs="Helvetica"/>
          <w:szCs w:val="20"/>
        </w:rPr>
        <w:t>lezen dat o</w:t>
      </w:r>
      <w:r w:rsidR="00DE66AD" w:rsidRPr="008E33DF">
        <w:rPr>
          <w:rFonts w:cs="Helvetica"/>
          <w:szCs w:val="20"/>
        </w:rPr>
        <w:t>ok bij de uitspraken</w:t>
      </w:r>
      <w:r w:rsidR="007F4AD2" w:rsidRPr="008E33DF">
        <w:rPr>
          <w:rFonts w:cs="Helvetica"/>
          <w:szCs w:val="20"/>
        </w:rPr>
        <w:t xml:space="preserve"> waarbij het beroep slaagt</w:t>
      </w:r>
      <w:r w:rsidR="000F054C" w:rsidRPr="008E33DF">
        <w:rPr>
          <w:rFonts w:cs="Helvetica"/>
          <w:szCs w:val="20"/>
        </w:rPr>
        <w:t>,</w:t>
      </w:r>
      <w:r w:rsidR="007F4AD2" w:rsidRPr="008E33DF">
        <w:rPr>
          <w:rFonts w:cs="Helvetica"/>
          <w:szCs w:val="20"/>
        </w:rPr>
        <w:t xml:space="preserve"> </w:t>
      </w:r>
      <w:r w:rsidR="00DE66AD" w:rsidRPr="008E33DF">
        <w:rPr>
          <w:rFonts w:cs="Helvetica"/>
          <w:szCs w:val="20"/>
        </w:rPr>
        <w:t>de</w:t>
      </w:r>
      <w:r w:rsidR="00040463" w:rsidRPr="008E33DF">
        <w:rPr>
          <w:rFonts w:cs="Helvetica"/>
          <w:szCs w:val="20"/>
        </w:rPr>
        <w:t xml:space="preserve"> rechter vooral kijkt naar de </w:t>
      </w:r>
      <w:r w:rsidR="00DE66AD" w:rsidRPr="008E33DF">
        <w:rPr>
          <w:rFonts w:cs="Helvetica"/>
          <w:b/>
          <w:szCs w:val="20"/>
        </w:rPr>
        <w:t>geschiktheid van de woonruimte voor permanent verblijf</w:t>
      </w:r>
      <w:r w:rsidR="000F054C" w:rsidRPr="008E33DF">
        <w:rPr>
          <w:rFonts w:cs="Helvetica"/>
          <w:szCs w:val="20"/>
        </w:rPr>
        <w:t>. Dit is</w:t>
      </w:r>
      <w:r w:rsidR="00DE66AD" w:rsidRPr="008E33DF">
        <w:rPr>
          <w:rFonts w:cs="Helvetica"/>
          <w:szCs w:val="20"/>
        </w:rPr>
        <w:t xml:space="preserve"> namelijk</w:t>
      </w:r>
      <w:r w:rsidR="000F054C" w:rsidRPr="008E33DF">
        <w:rPr>
          <w:rFonts w:cs="Helvetica"/>
          <w:szCs w:val="20"/>
        </w:rPr>
        <w:t xml:space="preserve"> het geval</w:t>
      </w:r>
      <w:r w:rsidR="00DE66AD" w:rsidRPr="008E33DF">
        <w:rPr>
          <w:rFonts w:cs="Helvetica"/>
          <w:szCs w:val="20"/>
        </w:rPr>
        <w:t xml:space="preserve"> in </w:t>
      </w:r>
      <w:r w:rsidR="000F054C" w:rsidRPr="008E33DF">
        <w:rPr>
          <w:rFonts w:cs="Helvetica"/>
          <w:szCs w:val="20"/>
        </w:rPr>
        <w:t>tien</w:t>
      </w:r>
      <w:r w:rsidR="00DE66AD" w:rsidRPr="008E33DF">
        <w:rPr>
          <w:rFonts w:cs="Helvetica"/>
          <w:szCs w:val="20"/>
        </w:rPr>
        <w:t xml:space="preserve"> van de </w:t>
      </w:r>
      <w:r w:rsidR="000F054C" w:rsidRPr="008E33DF">
        <w:rPr>
          <w:rFonts w:cs="Helvetica"/>
          <w:szCs w:val="20"/>
        </w:rPr>
        <w:t>vijftien</w:t>
      </w:r>
      <w:r w:rsidR="00DE66AD" w:rsidRPr="008E33DF">
        <w:rPr>
          <w:rFonts w:cs="Helvetica"/>
          <w:szCs w:val="20"/>
        </w:rPr>
        <w:t xml:space="preserve"> uitspraken. </w:t>
      </w:r>
      <w:r w:rsidR="000F2870" w:rsidRPr="008E33DF">
        <w:rPr>
          <w:rFonts w:cs="Helvetica"/>
          <w:szCs w:val="20"/>
        </w:rPr>
        <w:t>In tegenstelling tot de uitspraken waarbij het beroep wordt afgewezen, geeft de rechter bij de uitspraken waarbij het beroep wordt toegewezen</w:t>
      </w:r>
      <w:r w:rsidR="000F054C" w:rsidRPr="008E33DF">
        <w:rPr>
          <w:rFonts w:cs="Helvetica"/>
          <w:szCs w:val="20"/>
        </w:rPr>
        <w:t>,</w:t>
      </w:r>
      <w:r w:rsidR="000F2870" w:rsidRPr="008E33DF">
        <w:rPr>
          <w:rFonts w:cs="Helvetica"/>
          <w:szCs w:val="20"/>
        </w:rPr>
        <w:t xml:space="preserve"> een uitgebreidere motivatie v</w:t>
      </w:r>
      <w:r w:rsidR="000F054C" w:rsidRPr="008E33DF">
        <w:rPr>
          <w:rFonts w:cs="Helvetica"/>
          <w:szCs w:val="20"/>
        </w:rPr>
        <w:t>oor</w:t>
      </w:r>
      <w:r w:rsidR="000F2870" w:rsidRPr="008E33DF">
        <w:rPr>
          <w:rFonts w:cs="Helvetica"/>
          <w:szCs w:val="20"/>
        </w:rPr>
        <w:t xml:space="preserve"> zijn beoordeling. </w:t>
      </w:r>
      <w:r w:rsidR="00DA4A3D" w:rsidRPr="008E33DF">
        <w:rPr>
          <w:rFonts w:cs="Helvetica"/>
          <w:szCs w:val="20"/>
        </w:rPr>
        <w:t xml:space="preserve">Uit deze motiveringen is af te leiden </w:t>
      </w:r>
      <w:r w:rsidR="00FB4900" w:rsidRPr="008E33DF">
        <w:rPr>
          <w:rFonts w:cs="Helvetica"/>
          <w:szCs w:val="20"/>
        </w:rPr>
        <w:t>welke feiten en omstandigheden uit deze categorie he</w:t>
      </w:r>
      <w:r w:rsidR="000F054C" w:rsidRPr="008E33DF">
        <w:rPr>
          <w:rFonts w:cs="Helvetica"/>
          <w:szCs w:val="20"/>
        </w:rPr>
        <w:t>bben</w:t>
      </w:r>
      <w:r w:rsidR="00FB4900" w:rsidRPr="008E33DF">
        <w:rPr>
          <w:rFonts w:cs="Helvetica"/>
          <w:szCs w:val="20"/>
        </w:rPr>
        <w:t xml:space="preserve"> geleid tot de toewijzing van het beroep. Het gaat vooral om woonruimten </w:t>
      </w:r>
      <w:r w:rsidR="000F054C" w:rsidRPr="008E33DF">
        <w:rPr>
          <w:rFonts w:cs="Helvetica"/>
          <w:szCs w:val="20"/>
        </w:rPr>
        <w:t>die</w:t>
      </w:r>
      <w:r w:rsidR="00FB4900" w:rsidRPr="008E33DF">
        <w:rPr>
          <w:rFonts w:cs="Helvetica"/>
          <w:szCs w:val="20"/>
        </w:rPr>
        <w:t xml:space="preserve"> in slechte staat zijn en hierdoor niet geschikt zijn voor langdurig verblijf</w:t>
      </w:r>
      <w:r w:rsidR="00A93098" w:rsidRPr="008E33DF">
        <w:rPr>
          <w:rFonts w:cs="Helvetica"/>
          <w:szCs w:val="20"/>
        </w:rPr>
        <w:t xml:space="preserve"> (zie bijlage </w:t>
      </w:r>
      <w:r w:rsidR="000F075E" w:rsidRPr="008E33DF">
        <w:rPr>
          <w:rFonts w:cs="Helvetica"/>
          <w:szCs w:val="20"/>
        </w:rPr>
        <w:t>4</w:t>
      </w:r>
      <w:r w:rsidR="00A93098" w:rsidRPr="008E33DF">
        <w:rPr>
          <w:rFonts w:cs="Helvetica"/>
          <w:szCs w:val="20"/>
        </w:rPr>
        <w:t>)</w:t>
      </w:r>
      <w:r w:rsidR="00FB4900" w:rsidRPr="008E33DF">
        <w:rPr>
          <w:rFonts w:cs="Helvetica"/>
          <w:szCs w:val="20"/>
        </w:rPr>
        <w:t xml:space="preserve">. In enkele gevallen gaat het om woonruimten die </w:t>
      </w:r>
      <w:r w:rsidR="000F054C" w:rsidRPr="008E33DF">
        <w:rPr>
          <w:rFonts w:cs="Helvetica"/>
          <w:szCs w:val="20"/>
        </w:rPr>
        <w:t>genomineerd</w:t>
      </w:r>
      <w:r w:rsidR="00C13A60" w:rsidRPr="008E33DF">
        <w:rPr>
          <w:rFonts w:cs="Helvetica"/>
          <w:szCs w:val="20"/>
        </w:rPr>
        <w:t xml:space="preserve"> zijn voor sloop. </w:t>
      </w:r>
      <w:r w:rsidR="00AC7EFD" w:rsidRPr="008E33DF">
        <w:rPr>
          <w:rFonts w:cs="Helvetica"/>
          <w:szCs w:val="20"/>
        </w:rPr>
        <w:t>In de zaak van Rb. Den Haag van 22 juli 2013 heeft</w:t>
      </w:r>
      <w:r w:rsidR="00DA4A3D" w:rsidRPr="008E33DF">
        <w:rPr>
          <w:rFonts w:cs="Helvetica"/>
          <w:szCs w:val="20"/>
        </w:rPr>
        <w:t xml:space="preserve"> de</w:t>
      </w:r>
      <w:r w:rsidR="00AC7EFD" w:rsidRPr="008E33DF">
        <w:rPr>
          <w:rFonts w:cs="Helvetica"/>
          <w:szCs w:val="20"/>
        </w:rPr>
        <w:t xml:space="preserve"> verhuurder met enkele huurde</w:t>
      </w:r>
      <w:r w:rsidR="00DA4A3D" w:rsidRPr="008E33DF">
        <w:rPr>
          <w:rFonts w:cs="Helvetica"/>
          <w:szCs w:val="20"/>
        </w:rPr>
        <w:t>rs afgesproken</w:t>
      </w:r>
      <w:r w:rsidR="000F054C" w:rsidRPr="008E33DF">
        <w:rPr>
          <w:rFonts w:cs="Helvetica"/>
          <w:szCs w:val="20"/>
        </w:rPr>
        <w:t>,</w:t>
      </w:r>
      <w:r w:rsidR="00DA4A3D" w:rsidRPr="008E33DF">
        <w:rPr>
          <w:rFonts w:cs="Helvetica"/>
          <w:szCs w:val="20"/>
        </w:rPr>
        <w:t xml:space="preserve"> dat </w:t>
      </w:r>
      <w:r w:rsidR="000F054C" w:rsidRPr="008E33DF">
        <w:rPr>
          <w:rFonts w:cs="Helvetica"/>
          <w:szCs w:val="20"/>
        </w:rPr>
        <w:t>zij</w:t>
      </w:r>
      <w:r w:rsidR="00DA4A3D" w:rsidRPr="008E33DF">
        <w:rPr>
          <w:rFonts w:cs="Helvetica"/>
          <w:szCs w:val="20"/>
        </w:rPr>
        <w:t xml:space="preserve"> in de</w:t>
      </w:r>
      <w:r w:rsidR="00AC7EFD" w:rsidRPr="008E33DF">
        <w:rPr>
          <w:rFonts w:cs="Helvetica"/>
          <w:szCs w:val="20"/>
        </w:rPr>
        <w:t xml:space="preserve"> woonruimte mogen wonen tot</w:t>
      </w:r>
      <w:r w:rsidR="00DA4A3D" w:rsidRPr="008E33DF">
        <w:rPr>
          <w:rFonts w:cs="Helvetica"/>
          <w:szCs w:val="20"/>
        </w:rPr>
        <w:t>dat de</w:t>
      </w:r>
      <w:r w:rsidR="000F054C" w:rsidRPr="008E33DF">
        <w:rPr>
          <w:rFonts w:cs="Helvetica"/>
          <w:szCs w:val="20"/>
        </w:rPr>
        <w:t>ze</w:t>
      </w:r>
      <w:r w:rsidR="00DA4A3D" w:rsidRPr="008E33DF">
        <w:rPr>
          <w:rFonts w:cs="Helvetica"/>
          <w:szCs w:val="20"/>
        </w:rPr>
        <w:t xml:space="preserve"> gesloopt </w:t>
      </w:r>
      <w:r w:rsidR="00AC7EFD" w:rsidRPr="008E33DF">
        <w:rPr>
          <w:rFonts w:cs="Helvetica"/>
          <w:szCs w:val="20"/>
        </w:rPr>
        <w:t>worden. Bij het aangaan van de overeenkomst was de datum van de sloop nog niet bekend. Bij het uitblijven van concrete sl</w:t>
      </w:r>
      <w:r w:rsidR="00DA4A3D" w:rsidRPr="008E33DF">
        <w:rPr>
          <w:rFonts w:cs="Helvetica"/>
          <w:szCs w:val="20"/>
        </w:rPr>
        <w:t>oopplannen hebben de huurders de</w:t>
      </w:r>
      <w:r w:rsidR="00AC7EFD" w:rsidRPr="008E33DF">
        <w:rPr>
          <w:rFonts w:cs="Helvetica"/>
          <w:szCs w:val="20"/>
        </w:rPr>
        <w:t xml:space="preserve"> hoop gekregen om langer gebruik te mogen maken van de woningen. De rechter is echter van mening dat </w:t>
      </w:r>
      <w:r w:rsidR="000F054C" w:rsidRPr="008E33DF">
        <w:rPr>
          <w:rFonts w:cs="Helvetica"/>
          <w:szCs w:val="20"/>
        </w:rPr>
        <w:t>er sprake is van</w:t>
      </w:r>
      <w:r w:rsidR="00AC7EFD" w:rsidRPr="008E33DF">
        <w:rPr>
          <w:rFonts w:cs="Helvetica"/>
          <w:szCs w:val="20"/>
        </w:rPr>
        <w:t xml:space="preserve"> </w:t>
      </w:r>
      <w:r w:rsidR="00DA4A3D" w:rsidRPr="008E33DF">
        <w:rPr>
          <w:rFonts w:cs="Helvetica"/>
          <w:szCs w:val="20"/>
        </w:rPr>
        <w:t>een huurovereenkomst die</w:t>
      </w:r>
      <w:r w:rsidR="00AC7EFD" w:rsidRPr="008E33DF">
        <w:rPr>
          <w:rFonts w:cs="Helvetica"/>
          <w:szCs w:val="20"/>
        </w:rPr>
        <w:t xml:space="preserve"> naar zijn aard van korte duur is, mede gelet op het feit dat de woningen zullen worden gesloopt.</w:t>
      </w:r>
      <w:r w:rsidR="000D0FAE" w:rsidRPr="008E33DF">
        <w:rPr>
          <w:rStyle w:val="Voetnootmarkering"/>
          <w:rFonts w:cs="Helvetica"/>
          <w:szCs w:val="20"/>
        </w:rPr>
        <w:footnoteReference w:id="31"/>
      </w:r>
    </w:p>
    <w:p w:rsidR="00704F63" w:rsidRPr="008E33DF" w:rsidRDefault="00704F63" w:rsidP="00704F63">
      <w:pPr>
        <w:rPr>
          <w:rFonts w:cs="Helvetica"/>
          <w:szCs w:val="20"/>
        </w:rPr>
      </w:pPr>
    </w:p>
    <w:p w:rsidR="00DD0864" w:rsidRPr="008E33DF" w:rsidRDefault="00F7062E" w:rsidP="00704F63">
      <w:pPr>
        <w:rPr>
          <w:rFonts w:cs="Helvetica"/>
          <w:szCs w:val="20"/>
        </w:rPr>
      </w:pPr>
      <w:r w:rsidRPr="008E33DF">
        <w:rPr>
          <w:rFonts w:cs="Helvetica"/>
          <w:szCs w:val="20"/>
        </w:rPr>
        <w:t>Uit</w:t>
      </w:r>
      <w:r w:rsidR="00DA4A3D" w:rsidRPr="008E33DF">
        <w:rPr>
          <w:rFonts w:cs="Helvetica"/>
          <w:szCs w:val="20"/>
        </w:rPr>
        <w:t xml:space="preserve"> het</w:t>
      </w:r>
      <w:r w:rsidRPr="008E33DF">
        <w:rPr>
          <w:rFonts w:cs="Helvetica"/>
          <w:szCs w:val="20"/>
        </w:rPr>
        <w:t xml:space="preserve"> bovenstaande valt te begrijpen dat de slechte staat van een woonruimte een doorslaggevende rol kan spelen </w:t>
      </w:r>
      <w:r w:rsidR="000F054C" w:rsidRPr="008E33DF">
        <w:rPr>
          <w:rFonts w:cs="Helvetica"/>
          <w:szCs w:val="20"/>
        </w:rPr>
        <w:t>in</w:t>
      </w:r>
      <w:r w:rsidRPr="008E33DF">
        <w:rPr>
          <w:rFonts w:cs="Helvetica"/>
          <w:szCs w:val="20"/>
        </w:rPr>
        <w:t xml:space="preserve"> de beoordeling van de rechter.</w:t>
      </w:r>
    </w:p>
    <w:p w:rsidR="00DD0864" w:rsidRPr="008E33DF" w:rsidRDefault="00DD0864" w:rsidP="00704F63">
      <w:pPr>
        <w:rPr>
          <w:rFonts w:cs="Helvetica"/>
          <w:szCs w:val="20"/>
        </w:rPr>
      </w:pPr>
    </w:p>
    <w:p w:rsidR="00247413" w:rsidRPr="008E33DF" w:rsidRDefault="00DD0864" w:rsidP="00704F63">
      <w:pPr>
        <w:rPr>
          <w:rFonts w:cs="Helvetica"/>
          <w:szCs w:val="20"/>
        </w:rPr>
      </w:pPr>
      <w:r w:rsidRPr="008E33DF">
        <w:rPr>
          <w:rFonts w:cs="Helvetica"/>
          <w:szCs w:val="20"/>
        </w:rPr>
        <w:t>D</w:t>
      </w:r>
      <w:r w:rsidR="00247413" w:rsidRPr="008E33DF">
        <w:rPr>
          <w:rFonts w:cs="Helvetica"/>
          <w:szCs w:val="20"/>
        </w:rPr>
        <w:t>e rechter</w:t>
      </w:r>
      <w:r w:rsidRPr="008E33DF">
        <w:rPr>
          <w:rFonts w:cs="Helvetica"/>
          <w:szCs w:val="20"/>
        </w:rPr>
        <w:t xml:space="preserve"> kan</w:t>
      </w:r>
      <w:r w:rsidR="00A43EC7" w:rsidRPr="008E33DF">
        <w:rPr>
          <w:rFonts w:cs="Helvetica"/>
          <w:szCs w:val="20"/>
        </w:rPr>
        <w:t xml:space="preserve"> </w:t>
      </w:r>
      <w:r w:rsidR="00DA4A3D" w:rsidRPr="008E33DF">
        <w:rPr>
          <w:rFonts w:cs="Helvetica"/>
          <w:szCs w:val="20"/>
        </w:rPr>
        <w:t xml:space="preserve">bij </w:t>
      </w:r>
      <w:r w:rsidR="00247413" w:rsidRPr="008E33DF">
        <w:rPr>
          <w:rFonts w:cs="Helvetica"/>
          <w:szCs w:val="20"/>
        </w:rPr>
        <w:t>zijn beslissing</w:t>
      </w:r>
      <w:r w:rsidR="000F054C" w:rsidRPr="008E33DF">
        <w:rPr>
          <w:rFonts w:cs="Helvetica"/>
          <w:szCs w:val="20"/>
        </w:rPr>
        <w:t xml:space="preserve"> </w:t>
      </w:r>
      <w:r w:rsidRPr="008E33DF">
        <w:rPr>
          <w:rFonts w:cs="Helvetica"/>
          <w:szCs w:val="20"/>
        </w:rPr>
        <w:t>ook</w:t>
      </w:r>
      <w:r w:rsidR="00247413" w:rsidRPr="008E33DF">
        <w:rPr>
          <w:rFonts w:cs="Helvetica"/>
          <w:szCs w:val="20"/>
        </w:rPr>
        <w:t xml:space="preserve"> berusten op het feit dat een </w:t>
      </w:r>
      <w:r w:rsidR="00247413" w:rsidRPr="008E33DF">
        <w:rPr>
          <w:rFonts w:cs="Helvetica"/>
          <w:b/>
          <w:szCs w:val="20"/>
        </w:rPr>
        <w:t>woning gemeubileerd</w:t>
      </w:r>
      <w:r w:rsidR="00247413" w:rsidRPr="008E33DF">
        <w:rPr>
          <w:rFonts w:cs="Helvetica"/>
          <w:szCs w:val="20"/>
        </w:rPr>
        <w:t xml:space="preserve"> is verhuurd. Uit </w:t>
      </w:r>
      <w:r w:rsidR="00A43EC7" w:rsidRPr="008E33DF">
        <w:rPr>
          <w:rFonts w:cs="Helvetica"/>
          <w:szCs w:val="20"/>
        </w:rPr>
        <w:t>t</w:t>
      </w:r>
      <w:r w:rsidR="00247413" w:rsidRPr="008E33DF">
        <w:rPr>
          <w:rFonts w:cs="Helvetica"/>
          <w:szCs w:val="20"/>
        </w:rPr>
        <w:t>abel</w:t>
      </w:r>
      <w:r w:rsidR="005210A9" w:rsidRPr="008E33DF">
        <w:rPr>
          <w:rFonts w:cs="Helvetica"/>
          <w:szCs w:val="20"/>
        </w:rPr>
        <w:t xml:space="preserve"> 4</w:t>
      </w:r>
      <w:r w:rsidR="00A43EC7" w:rsidRPr="008E33DF">
        <w:rPr>
          <w:rFonts w:cs="Helvetica"/>
          <w:szCs w:val="20"/>
        </w:rPr>
        <w:t xml:space="preserve"> </w:t>
      </w:r>
      <w:r w:rsidR="005210A9" w:rsidRPr="008E33DF">
        <w:rPr>
          <w:rFonts w:cs="Helvetica"/>
          <w:szCs w:val="20"/>
        </w:rPr>
        <w:t>valt</w:t>
      </w:r>
      <w:r w:rsidR="00247413" w:rsidRPr="008E33DF">
        <w:rPr>
          <w:rFonts w:cs="Helvetica"/>
          <w:szCs w:val="20"/>
        </w:rPr>
        <w:t xml:space="preserve"> af te lezen dat</w:t>
      </w:r>
      <w:r w:rsidR="00A43EC7" w:rsidRPr="008E33DF">
        <w:rPr>
          <w:rFonts w:cs="Helvetica"/>
          <w:szCs w:val="20"/>
        </w:rPr>
        <w:t xml:space="preserve"> dit</w:t>
      </w:r>
      <w:r w:rsidR="00247413" w:rsidRPr="008E33DF">
        <w:rPr>
          <w:rFonts w:cs="Helvetica"/>
          <w:szCs w:val="20"/>
        </w:rPr>
        <w:t xml:space="preserve"> in </w:t>
      </w:r>
      <w:r w:rsidR="00A43EC7" w:rsidRPr="008E33DF">
        <w:rPr>
          <w:rFonts w:cs="Helvetica"/>
          <w:szCs w:val="20"/>
        </w:rPr>
        <w:t>drie</w:t>
      </w:r>
      <w:r w:rsidR="00247413" w:rsidRPr="008E33DF">
        <w:rPr>
          <w:rFonts w:cs="Helvetica"/>
          <w:szCs w:val="20"/>
        </w:rPr>
        <w:t xml:space="preserve"> uitspraken</w:t>
      </w:r>
      <w:r w:rsidR="000F054C" w:rsidRPr="008E33DF">
        <w:rPr>
          <w:rFonts w:cs="Helvetica"/>
          <w:szCs w:val="20"/>
        </w:rPr>
        <w:t xml:space="preserve"> </w:t>
      </w:r>
      <w:r w:rsidR="00704F63" w:rsidRPr="008E33DF">
        <w:rPr>
          <w:rFonts w:cs="Helvetica"/>
          <w:szCs w:val="20"/>
        </w:rPr>
        <w:t>het geval is. Het</w:t>
      </w:r>
      <w:r w:rsidR="00247413" w:rsidRPr="008E33DF">
        <w:rPr>
          <w:rFonts w:cs="Helvetica"/>
          <w:szCs w:val="20"/>
        </w:rPr>
        <w:t xml:space="preserve"> gaat </w:t>
      </w:r>
      <w:r w:rsidR="00704F63" w:rsidRPr="008E33DF">
        <w:rPr>
          <w:rFonts w:cs="Helvetica"/>
          <w:szCs w:val="20"/>
        </w:rPr>
        <w:t>in deze uitspraken</w:t>
      </w:r>
      <w:r w:rsidR="00247413" w:rsidRPr="008E33DF">
        <w:rPr>
          <w:rFonts w:cs="Helvetica"/>
          <w:szCs w:val="20"/>
        </w:rPr>
        <w:t xml:space="preserve"> om woonruimten</w:t>
      </w:r>
      <w:r w:rsidR="00A43EC7" w:rsidRPr="008E33DF">
        <w:rPr>
          <w:rFonts w:cs="Helvetica"/>
          <w:szCs w:val="20"/>
        </w:rPr>
        <w:t>,</w:t>
      </w:r>
      <w:r w:rsidR="00247413" w:rsidRPr="008E33DF">
        <w:rPr>
          <w:rFonts w:cs="Helvetica"/>
          <w:szCs w:val="20"/>
        </w:rPr>
        <w:t xml:space="preserve"> waarbij de verhuurder meubels heeft achtergelaten voor de huurder. In de uitspraak van Rb. Amsterdam van 19 december 2014 heeft de verhuurder zelfs persoonlijke eigendommen achter gelaten.</w:t>
      </w:r>
      <w:r w:rsidR="00247413" w:rsidRPr="008E33DF">
        <w:rPr>
          <w:rStyle w:val="Voetnootmarkering"/>
          <w:rFonts w:cs="Helvetica"/>
          <w:szCs w:val="20"/>
        </w:rPr>
        <w:footnoteReference w:id="32"/>
      </w:r>
    </w:p>
    <w:p w:rsidR="00704F63" w:rsidRPr="008E33DF" w:rsidRDefault="00704F63" w:rsidP="00704F63">
      <w:pPr>
        <w:rPr>
          <w:rFonts w:cs="Helvetica"/>
          <w:szCs w:val="20"/>
        </w:rPr>
      </w:pPr>
    </w:p>
    <w:p w:rsidR="00DA0116" w:rsidRPr="008E33DF" w:rsidRDefault="00A93098" w:rsidP="00704F63">
      <w:pPr>
        <w:rPr>
          <w:rFonts w:cs="Helvetica"/>
          <w:szCs w:val="20"/>
        </w:rPr>
      </w:pPr>
      <w:r w:rsidRPr="008E33DF">
        <w:rPr>
          <w:rFonts w:cs="Helvetica"/>
          <w:szCs w:val="20"/>
        </w:rPr>
        <w:t xml:space="preserve">In de vorige paragraaf </w:t>
      </w:r>
      <w:r w:rsidR="003E7E1B" w:rsidRPr="008E33DF">
        <w:rPr>
          <w:rFonts w:cs="Helvetica"/>
          <w:szCs w:val="20"/>
        </w:rPr>
        <w:t xml:space="preserve">is opgemerkt dat er </w:t>
      </w:r>
      <w:r w:rsidR="00997440" w:rsidRPr="008E33DF">
        <w:rPr>
          <w:rFonts w:cs="Helvetica"/>
          <w:szCs w:val="20"/>
        </w:rPr>
        <w:t>drie</w:t>
      </w:r>
      <w:r w:rsidR="003E7E1B" w:rsidRPr="008E33DF">
        <w:rPr>
          <w:rFonts w:cs="Helvetica"/>
          <w:szCs w:val="20"/>
        </w:rPr>
        <w:t xml:space="preserve"> uitspraken zijn</w:t>
      </w:r>
      <w:r w:rsidR="00A43EC7" w:rsidRPr="008E33DF">
        <w:rPr>
          <w:rFonts w:cs="Helvetica"/>
          <w:szCs w:val="20"/>
        </w:rPr>
        <w:t>,</w:t>
      </w:r>
      <w:r w:rsidR="003E7E1B" w:rsidRPr="008E33DF">
        <w:rPr>
          <w:rFonts w:cs="Helvetica"/>
          <w:szCs w:val="20"/>
        </w:rPr>
        <w:t xml:space="preserve"> waarbij</w:t>
      </w:r>
      <w:r w:rsidR="00A43EC7" w:rsidRPr="008E33DF">
        <w:rPr>
          <w:rFonts w:cs="Helvetica"/>
          <w:szCs w:val="20"/>
        </w:rPr>
        <w:t xml:space="preserve"> de huur van</w:t>
      </w:r>
      <w:r w:rsidR="003E7E1B" w:rsidRPr="008E33DF">
        <w:rPr>
          <w:rFonts w:cs="Helvetica"/>
          <w:szCs w:val="20"/>
        </w:rPr>
        <w:t xml:space="preserve"> een </w:t>
      </w:r>
      <w:r w:rsidR="003E7E1B" w:rsidRPr="008E33DF">
        <w:rPr>
          <w:rFonts w:cs="Helvetica"/>
          <w:b/>
          <w:szCs w:val="20"/>
        </w:rPr>
        <w:t>recreatiewoning</w:t>
      </w:r>
      <w:r w:rsidR="003E7E1B" w:rsidRPr="008E33DF">
        <w:rPr>
          <w:rFonts w:cs="Helvetica"/>
          <w:szCs w:val="20"/>
        </w:rPr>
        <w:t xml:space="preserve"> niet wordt aangem</w:t>
      </w:r>
      <w:r w:rsidR="00DA4A3D" w:rsidRPr="008E33DF">
        <w:rPr>
          <w:rFonts w:cs="Helvetica"/>
          <w:szCs w:val="20"/>
        </w:rPr>
        <w:t>erkt als huur van woonruimte die</w:t>
      </w:r>
      <w:r w:rsidR="003E7E1B" w:rsidRPr="008E33DF">
        <w:rPr>
          <w:rFonts w:cs="Helvetica"/>
          <w:szCs w:val="20"/>
        </w:rPr>
        <w:t xml:space="preserve"> naar zijn aard van korte duur is. Uit Tabel 4 valt af te lezen</w:t>
      </w:r>
      <w:r w:rsidR="00286EE0" w:rsidRPr="008E33DF">
        <w:rPr>
          <w:rFonts w:cs="Helvetica"/>
          <w:szCs w:val="20"/>
        </w:rPr>
        <w:t xml:space="preserve"> dat er slechts één uitspraak aanwezig is waarbij het beroep</w:t>
      </w:r>
      <w:r w:rsidR="003E7E1B" w:rsidRPr="008E33DF">
        <w:rPr>
          <w:rFonts w:cs="Helvetica"/>
          <w:szCs w:val="20"/>
        </w:rPr>
        <w:t xml:space="preserve"> wel</w:t>
      </w:r>
      <w:r w:rsidR="00286EE0" w:rsidRPr="008E33DF">
        <w:rPr>
          <w:rFonts w:cs="Helvetica"/>
          <w:szCs w:val="20"/>
        </w:rPr>
        <w:t xml:space="preserve"> wordt toegewezen</w:t>
      </w:r>
      <w:r w:rsidR="003E7E1B" w:rsidRPr="008E33DF">
        <w:rPr>
          <w:rFonts w:cs="Helvetica"/>
          <w:szCs w:val="20"/>
        </w:rPr>
        <w:t xml:space="preserve">. </w:t>
      </w:r>
      <w:r w:rsidR="00286EE0" w:rsidRPr="008E33DF">
        <w:rPr>
          <w:rFonts w:cs="Helvetica"/>
          <w:szCs w:val="20"/>
        </w:rPr>
        <w:t xml:space="preserve">In de uitspraak van Rb. Zutphen van 19 december 2007 verwijst de rechter simpelweg naar de </w:t>
      </w:r>
      <w:r w:rsidR="00DA4A3D" w:rsidRPr="008E33DF">
        <w:rPr>
          <w:rFonts w:cs="Helvetica"/>
          <w:szCs w:val="20"/>
        </w:rPr>
        <w:t>Memorie van T</w:t>
      </w:r>
      <w:r w:rsidR="001E342A" w:rsidRPr="008E33DF">
        <w:rPr>
          <w:rFonts w:cs="Helvetica"/>
          <w:szCs w:val="20"/>
        </w:rPr>
        <w:t>oelichting zonder verdere motivering te geven.</w:t>
      </w:r>
      <w:r w:rsidR="001E342A" w:rsidRPr="008E33DF">
        <w:rPr>
          <w:rStyle w:val="Voetnootmarkering"/>
          <w:rFonts w:cs="Helvetica"/>
          <w:szCs w:val="20"/>
        </w:rPr>
        <w:footnoteReference w:id="33"/>
      </w:r>
      <w:r w:rsidR="003E7E1B" w:rsidRPr="008E33DF">
        <w:rPr>
          <w:rFonts w:cs="Helvetica"/>
          <w:szCs w:val="20"/>
        </w:rPr>
        <w:t xml:space="preserve"> Als men de</w:t>
      </w:r>
      <w:r w:rsidR="00DA4A3D" w:rsidRPr="008E33DF">
        <w:rPr>
          <w:rFonts w:cs="Helvetica"/>
          <w:szCs w:val="20"/>
        </w:rPr>
        <w:t>nkt aan een huurovereenkomst die</w:t>
      </w:r>
      <w:r w:rsidR="003E7E1B" w:rsidRPr="008E33DF">
        <w:rPr>
          <w:rFonts w:cs="Helvetica"/>
          <w:szCs w:val="20"/>
        </w:rPr>
        <w:t xml:space="preserve"> naar zijn aard van korte duur is, denkt men snel aan de huur van een recreatiewoning. Het is daarom zeer opmerkelijk dat er </w:t>
      </w:r>
      <w:r w:rsidR="00A43EC7" w:rsidRPr="008E33DF">
        <w:rPr>
          <w:rFonts w:cs="Helvetica"/>
          <w:szCs w:val="20"/>
        </w:rPr>
        <w:t xml:space="preserve">tussen de 40 uitspraken die zijn geanalyseerd, </w:t>
      </w:r>
      <w:r w:rsidR="003E7E1B" w:rsidRPr="008E33DF">
        <w:rPr>
          <w:rFonts w:cs="Helvetica"/>
          <w:szCs w:val="20"/>
        </w:rPr>
        <w:t>slecht</w:t>
      </w:r>
      <w:r w:rsidR="00DA4A3D" w:rsidRPr="008E33DF">
        <w:rPr>
          <w:rFonts w:cs="Helvetica"/>
          <w:szCs w:val="20"/>
        </w:rPr>
        <w:t>s</w:t>
      </w:r>
      <w:r w:rsidR="00A43EC7" w:rsidRPr="008E33DF">
        <w:rPr>
          <w:rFonts w:cs="Helvetica"/>
          <w:szCs w:val="20"/>
        </w:rPr>
        <w:t xml:space="preserve"> vier</w:t>
      </w:r>
      <w:r w:rsidR="003E7E1B" w:rsidRPr="008E33DF">
        <w:rPr>
          <w:rFonts w:cs="Helvetica"/>
          <w:szCs w:val="20"/>
        </w:rPr>
        <w:t xml:space="preserve"> uitspraken </w:t>
      </w:r>
      <w:r w:rsidR="00A43EC7" w:rsidRPr="008E33DF">
        <w:rPr>
          <w:rFonts w:cs="Helvetica"/>
          <w:szCs w:val="20"/>
        </w:rPr>
        <w:t xml:space="preserve">zijn </w:t>
      </w:r>
      <w:r w:rsidR="003E7E1B" w:rsidRPr="008E33DF">
        <w:rPr>
          <w:rFonts w:cs="Helvetica"/>
          <w:szCs w:val="20"/>
        </w:rPr>
        <w:t xml:space="preserve">waarvan in </w:t>
      </w:r>
      <w:r w:rsidR="00A43EC7" w:rsidRPr="008E33DF">
        <w:rPr>
          <w:rFonts w:cs="Helvetica"/>
          <w:szCs w:val="20"/>
        </w:rPr>
        <w:t>drie</w:t>
      </w:r>
      <w:r w:rsidR="003E7E1B" w:rsidRPr="008E33DF">
        <w:rPr>
          <w:rFonts w:cs="Helvetica"/>
          <w:szCs w:val="20"/>
        </w:rPr>
        <w:t xml:space="preserve"> gevallen de overeenkomst ni</w:t>
      </w:r>
      <w:r w:rsidR="00DA4A3D" w:rsidRPr="008E33DF">
        <w:rPr>
          <w:rFonts w:cs="Helvetica"/>
          <w:szCs w:val="20"/>
        </w:rPr>
        <w:t>et wordt aangemerkt als huur die</w:t>
      </w:r>
      <w:r w:rsidR="003E7E1B" w:rsidRPr="008E33DF">
        <w:rPr>
          <w:rFonts w:cs="Helvetica"/>
          <w:szCs w:val="20"/>
        </w:rPr>
        <w:t xml:space="preserve"> naar zijn aard van korte duur is.</w:t>
      </w:r>
    </w:p>
    <w:p w:rsidR="000F075E" w:rsidRPr="008E33DF" w:rsidRDefault="000F075E" w:rsidP="00704F63">
      <w:pPr>
        <w:rPr>
          <w:rFonts w:cs="Helvetica"/>
          <w:szCs w:val="20"/>
        </w:rPr>
      </w:pPr>
    </w:p>
    <w:p w:rsidR="00D31AF2" w:rsidRPr="008E33DF" w:rsidRDefault="001E342A" w:rsidP="00704F63">
      <w:pPr>
        <w:rPr>
          <w:rFonts w:cs="Helvetica"/>
          <w:szCs w:val="20"/>
        </w:rPr>
      </w:pPr>
      <w:r w:rsidRPr="008E33DF">
        <w:rPr>
          <w:rFonts w:cs="Helvetica"/>
          <w:szCs w:val="20"/>
        </w:rPr>
        <w:t>Een ander</w:t>
      </w:r>
      <w:r w:rsidR="00DA4A3D" w:rsidRPr="008E33DF">
        <w:rPr>
          <w:rFonts w:cs="Helvetica"/>
          <w:szCs w:val="20"/>
        </w:rPr>
        <w:t xml:space="preserve"> opmerkelijk</w:t>
      </w:r>
      <w:r w:rsidRPr="008E33DF">
        <w:rPr>
          <w:rFonts w:cs="Helvetica"/>
          <w:szCs w:val="20"/>
        </w:rPr>
        <w:t xml:space="preserve"> voorbeeld dat in de parlementaire geschiedenis wordt genoemd</w:t>
      </w:r>
      <w:r w:rsidR="00A43EC7" w:rsidRPr="008E33DF">
        <w:rPr>
          <w:rFonts w:cs="Helvetica"/>
          <w:szCs w:val="20"/>
        </w:rPr>
        <w:t>,</w:t>
      </w:r>
      <w:r w:rsidRPr="008E33DF">
        <w:rPr>
          <w:rFonts w:cs="Helvetica"/>
          <w:szCs w:val="20"/>
        </w:rPr>
        <w:t xml:space="preserve"> is de </w:t>
      </w:r>
      <w:r w:rsidRPr="008E33DF">
        <w:rPr>
          <w:rFonts w:cs="Helvetica"/>
          <w:b/>
          <w:szCs w:val="20"/>
        </w:rPr>
        <w:t>wisselwoning</w:t>
      </w:r>
      <w:r w:rsidR="00A43EC7" w:rsidRPr="008E33DF">
        <w:rPr>
          <w:rFonts w:cs="Helvetica"/>
          <w:szCs w:val="20"/>
        </w:rPr>
        <w:t>. V</w:t>
      </w:r>
      <w:r w:rsidR="00DA4A3D" w:rsidRPr="008E33DF">
        <w:rPr>
          <w:rFonts w:cs="Helvetica"/>
          <w:szCs w:val="20"/>
        </w:rPr>
        <w:t>an dit</w:t>
      </w:r>
      <w:r w:rsidRPr="008E33DF">
        <w:rPr>
          <w:rFonts w:cs="Helvetica"/>
          <w:szCs w:val="20"/>
        </w:rPr>
        <w:t xml:space="preserve"> voorbeeld is slechts één uitspraak aanwezig. Het voorbeeld komt uit de </w:t>
      </w:r>
      <w:r w:rsidRPr="008E33DF">
        <w:rPr>
          <w:rFonts w:cs="Helvetica"/>
          <w:szCs w:val="20"/>
        </w:rPr>
        <w:lastRenderedPageBreak/>
        <w:t>uitspraak van Rb. Rotterdam van 25 januari 2013. Hierin heeft de verhuurder aan de huurder ee</w:t>
      </w:r>
      <w:r w:rsidR="00F62897" w:rsidRPr="008E33DF">
        <w:rPr>
          <w:rFonts w:cs="Helvetica"/>
          <w:szCs w:val="20"/>
        </w:rPr>
        <w:t>n wisselwoning aangeboden in verband met</w:t>
      </w:r>
      <w:r w:rsidRPr="008E33DF">
        <w:rPr>
          <w:rFonts w:cs="Helvetica"/>
          <w:szCs w:val="20"/>
        </w:rPr>
        <w:t xml:space="preserve"> een slooptraject.</w:t>
      </w:r>
      <w:r w:rsidRPr="008E33DF">
        <w:rPr>
          <w:rStyle w:val="Voetnootmarkering"/>
          <w:rFonts w:cs="Helvetica"/>
          <w:szCs w:val="20"/>
        </w:rPr>
        <w:footnoteReference w:id="34"/>
      </w:r>
    </w:p>
    <w:p w:rsidR="000F075E" w:rsidRPr="008E33DF" w:rsidRDefault="000F075E" w:rsidP="00704F63">
      <w:pPr>
        <w:rPr>
          <w:rFonts w:cs="Helvetica"/>
          <w:szCs w:val="20"/>
        </w:rPr>
      </w:pPr>
    </w:p>
    <w:p w:rsidR="00F7062E" w:rsidRPr="008E33DF" w:rsidRDefault="008C1A4E" w:rsidP="005E7558">
      <w:pPr>
        <w:pStyle w:val="Kop3"/>
      </w:pPr>
      <w:bookmarkStart w:id="43" w:name="_Toc454253671"/>
      <w:r w:rsidRPr="008E33DF">
        <w:t>5.2.3</w:t>
      </w:r>
      <w:r w:rsidR="008E33DF">
        <w:t xml:space="preserve"> </w:t>
      </w:r>
      <w:r w:rsidR="000F075E" w:rsidRPr="008E33DF">
        <w:t>Conclusie: aard van het gehuurde</w:t>
      </w:r>
      <w:bookmarkEnd w:id="43"/>
    </w:p>
    <w:p w:rsidR="00F62897" w:rsidRPr="008E33DF" w:rsidRDefault="00F7062E" w:rsidP="00704F63">
      <w:pPr>
        <w:rPr>
          <w:rFonts w:cs="Helvetica"/>
          <w:szCs w:val="20"/>
        </w:rPr>
      </w:pPr>
      <w:r w:rsidRPr="008E33DF">
        <w:rPr>
          <w:rFonts w:cs="Helvetica"/>
          <w:szCs w:val="20"/>
        </w:rPr>
        <w:t xml:space="preserve">In deze paragraaf zijn de feiten en omstandigheden van de aard van het gehuurde behandeld. </w:t>
      </w:r>
      <w:r w:rsidR="00A3256C" w:rsidRPr="008E33DF">
        <w:rPr>
          <w:rFonts w:cs="Helvetica"/>
          <w:szCs w:val="20"/>
        </w:rPr>
        <w:t xml:space="preserve">Over het algemeen </w:t>
      </w:r>
      <w:r w:rsidR="00A40413" w:rsidRPr="008E33DF">
        <w:rPr>
          <w:rFonts w:cs="Helvetica"/>
          <w:szCs w:val="20"/>
        </w:rPr>
        <w:t xml:space="preserve">valt te zeggen dat </w:t>
      </w:r>
      <w:r w:rsidR="00A3256C" w:rsidRPr="008E33DF">
        <w:rPr>
          <w:rFonts w:cs="Helvetica"/>
          <w:szCs w:val="20"/>
        </w:rPr>
        <w:t>de rechter bij de toetsing op deze beoordelingsfactor</w:t>
      </w:r>
      <w:r w:rsidR="00A40413" w:rsidRPr="008E33DF">
        <w:rPr>
          <w:rFonts w:cs="Helvetica"/>
          <w:szCs w:val="20"/>
        </w:rPr>
        <w:t xml:space="preserve"> </w:t>
      </w:r>
      <w:r w:rsidR="001730FB" w:rsidRPr="008E33DF">
        <w:rPr>
          <w:rFonts w:cs="Helvetica"/>
          <w:szCs w:val="20"/>
        </w:rPr>
        <w:t xml:space="preserve">vooral </w:t>
      </w:r>
      <w:r w:rsidR="00A40413" w:rsidRPr="008E33DF">
        <w:rPr>
          <w:rFonts w:cs="Helvetica"/>
          <w:szCs w:val="20"/>
        </w:rPr>
        <w:t>kijkt</w:t>
      </w:r>
      <w:r w:rsidR="00A3256C" w:rsidRPr="008E33DF">
        <w:rPr>
          <w:rFonts w:cs="Helvetica"/>
          <w:szCs w:val="20"/>
        </w:rPr>
        <w:t xml:space="preserve"> of het gehuurde bijzonderheden bevat die aanleiding </w:t>
      </w:r>
      <w:r w:rsidR="00A43EC7" w:rsidRPr="008E33DF">
        <w:rPr>
          <w:rFonts w:cs="Helvetica"/>
          <w:szCs w:val="20"/>
        </w:rPr>
        <w:t xml:space="preserve">kan geven </w:t>
      </w:r>
      <w:r w:rsidR="00A3256C" w:rsidRPr="008E33DF">
        <w:rPr>
          <w:rFonts w:cs="Helvetica"/>
          <w:szCs w:val="20"/>
        </w:rPr>
        <w:t>om de huurovereenkomst te kwalificeren als een huurovereenkomst die naar zijn aard van korte duur is. Hierbij is gebleken dat de slechte staat van de woning een belangrijke criteria is voor de rechter. Bij de huur van een woonruimte die in slechte staat verkeert en hierdoor niet geschikt is voor langdurig of permanent verblijf, kan worden aangenomen dat deze huur een tijdelijk</w:t>
      </w:r>
      <w:r w:rsidR="00A40413" w:rsidRPr="008E33DF">
        <w:rPr>
          <w:rFonts w:cs="Helvetica"/>
          <w:szCs w:val="20"/>
        </w:rPr>
        <w:t>e</w:t>
      </w:r>
      <w:r w:rsidR="00A3256C" w:rsidRPr="008E33DF">
        <w:rPr>
          <w:rFonts w:cs="Helvetica"/>
          <w:szCs w:val="20"/>
        </w:rPr>
        <w:t xml:space="preserve"> karakter heeft.</w:t>
      </w:r>
    </w:p>
    <w:p w:rsidR="00A40413" w:rsidRPr="008E33DF" w:rsidRDefault="00A40413" w:rsidP="00A40413">
      <w:pPr>
        <w:rPr>
          <w:rFonts w:cs="Helvetica"/>
          <w:szCs w:val="20"/>
        </w:rPr>
      </w:pPr>
    </w:p>
    <w:p w:rsidR="00A40413" w:rsidRPr="008E33DF" w:rsidRDefault="00A40413" w:rsidP="00A40413">
      <w:pPr>
        <w:rPr>
          <w:rFonts w:cs="Helvetica"/>
          <w:szCs w:val="20"/>
        </w:rPr>
      </w:pPr>
      <w:r w:rsidRPr="008E33DF">
        <w:rPr>
          <w:rFonts w:cs="Helvetica"/>
          <w:szCs w:val="20"/>
        </w:rPr>
        <w:t>Een ander belangrijke omstandigheid</w:t>
      </w:r>
      <w:r w:rsidR="001730FB" w:rsidRPr="008E33DF">
        <w:rPr>
          <w:rFonts w:cs="Helvetica"/>
          <w:szCs w:val="20"/>
        </w:rPr>
        <w:t xml:space="preserve"> bij de toetsing van de rechter</w:t>
      </w:r>
      <w:r w:rsidRPr="008E33DF">
        <w:rPr>
          <w:rFonts w:cs="Helvetica"/>
          <w:szCs w:val="20"/>
        </w:rPr>
        <w:t xml:space="preserve"> is het gemeubileerd verhuren van de woonruimte. Wanneer een woning gemeubileerd is verhuurd met de eigen meubels van de verhuurder kan dit aanleiding zijn voor de rechter om de aard van het gehuurde te </w:t>
      </w:r>
      <w:r w:rsidR="001730FB" w:rsidRPr="008E33DF">
        <w:rPr>
          <w:rFonts w:cs="Helvetica"/>
          <w:szCs w:val="20"/>
        </w:rPr>
        <w:t>kenmerken</w:t>
      </w:r>
      <w:r w:rsidRPr="008E33DF">
        <w:rPr>
          <w:rFonts w:cs="Helvetica"/>
          <w:szCs w:val="20"/>
        </w:rPr>
        <w:t xml:space="preserve"> als naar zijn aard van korte duur.</w:t>
      </w:r>
    </w:p>
    <w:p w:rsidR="00F62897" w:rsidRPr="008E33DF" w:rsidRDefault="00F62897" w:rsidP="00704F63">
      <w:pPr>
        <w:rPr>
          <w:rFonts w:cs="Helvetica"/>
          <w:szCs w:val="20"/>
        </w:rPr>
      </w:pPr>
    </w:p>
    <w:p w:rsidR="00A40413" w:rsidRPr="008E33DF" w:rsidRDefault="00A40413" w:rsidP="00704F63">
      <w:pPr>
        <w:rPr>
          <w:rFonts w:cs="Helvetica"/>
          <w:szCs w:val="20"/>
        </w:rPr>
      </w:pPr>
      <w:r w:rsidRPr="008E33DF">
        <w:rPr>
          <w:rFonts w:cs="Helvetica"/>
          <w:szCs w:val="20"/>
        </w:rPr>
        <w:t>Wat verder opvalt aan de toetsing van de rechter op de aard van het gehuurde is dat in de afgewezen uitspraken de rechter weinig motivering geeft. De rechter benoemt slechts bijvo</w:t>
      </w:r>
      <w:r w:rsidR="000B27B2" w:rsidRPr="008E33DF">
        <w:rPr>
          <w:rFonts w:cs="Helvetica"/>
          <w:szCs w:val="20"/>
        </w:rPr>
        <w:t>orbeeld dat het een gewone woning betreft zonder</w:t>
      </w:r>
      <w:r w:rsidR="00D75D29" w:rsidRPr="008E33DF">
        <w:rPr>
          <w:rFonts w:cs="Helvetica"/>
          <w:szCs w:val="20"/>
        </w:rPr>
        <w:t xml:space="preserve"> enige</w:t>
      </w:r>
      <w:r w:rsidR="000B27B2" w:rsidRPr="008E33DF">
        <w:rPr>
          <w:rFonts w:cs="Helvetica"/>
          <w:szCs w:val="20"/>
        </w:rPr>
        <w:t xml:space="preserve"> bijzonderheden. </w:t>
      </w:r>
      <w:r w:rsidR="00D75D29" w:rsidRPr="008E33DF">
        <w:rPr>
          <w:rFonts w:cs="Helvetica"/>
          <w:szCs w:val="20"/>
        </w:rPr>
        <w:t>Ook hieruit blijkt dat de rechter bij de toetsing op de aard van het gehuurde vooral kijkt of deze bijzonderheden bevat.</w:t>
      </w:r>
    </w:p>
    <w:p w:rsidR="000F075E" w:rsidRPr="008E33DF" w:rsidRDefault="000F075E" w:rsidP="00704F63">
      <w:pPr>
        <w:rPr>
          <w:rFonts w:cs="Helvetica"/>
          <w:szCs w:val="20"/>
        </w:rPr>
      </w:pPr>
    </w:p>
    <w:p w:rsidR="00E6510F" w:rsidRPr="008E33DF" w:rsidRDefault="00E6510F" w:rsidP="00704F63">
      <w:pPr>
        <w:rPr>
          <w:rFonts w:cs="Helvetica"/>
          <w:szCs w:val="20"/>
        </w:rPr>
      </w:pPr>
      <w:r w:rsidRPr="008E33DF">
        <w:rPr>
          <w:rFonts w:cs="Helvetica"/>
          <w:szCs w:val="20"/>
        </w:rPr>
        <w:t xml:space="preserve">Tot slot heeft </w:t>
      </w:r>
      <w:r w:rsidR="009C2071" w:rsidRPr="008E33DF">
        <w:rPr>
          <w:rFonts w:cs="Helvetica"/>
          <w:szCs w:val="20"/>
        </w:rPr>
        <w:t>deze paragraaf een verrassend resultaat</w:t>
      </w:r>
      <w:r w:rsidR="001730FB" w:rsidRPr="008E33DF">
        <w:rPr>
          <w:rFonts w:cs="Helvetica"/>
          <w:szCs w:val="20"/>
        </w:rPr>
        <w:t>. De recreatiewoning die</w:t>
      </w:r>
      <w:r w:rsidR="0036020E" w:rsidRPr="008E33DF">
        <w:rPr>
          <w:rFonts w:cs="Helvetica"/>
          <w:szCs w:val="20"/>
        </w:rPr>
        <w:t xml:space="preserve"> </w:t>
      </w:r>
      <w:r w:rsidR="001730FB" w:rsidRPr="008E33DF">
        <w:rPr>
          <w:rFonts w:cs="Helvetica"/>
          <w:szCs w:val="20"/>
        </w:rPr>
        <w:t xml:space="preserve">wordt </w:t>
      </w:r>
      <w:r w:rsidR="0036020E" w:rsidRPr="008E33DF">
        <w:rPr>
          <w:rFonts w:cs="Helvetica"/>
          <w:szCs w:val="20"/>
        </w:rPr>
        <w:t xml:space="preserve">genoemd in de parlementaire geschiedenis komt in de 40 zaken maar </w:t>
      </w:r>
      <w:r w:rsidR="001730FB" w:rsidRPr="008E33DF">
        <w:rPr>
          <w:rFonts w:cs="Helvetica"/>
          <w:szCs w:val="20"/>
        </w:rPr>
        <w:t>vier</w:t>
      </w:r>
      <w:r w:rsidR="0036020E" w:rsidRPr="008E33DF">
        <w:rPr>
          <w:rFonts w:cs="Helvetica"/>
          <w:szCs w:val="20"/>
        </w:rPr>
        <w:t xml:space="preserve"> keer voor en in </w:t>
      </w:r>
      <w:r w:rsidR="001730FB" w:rsidRPr="008E33DF">
        <w:rPr>
          <w:rFonts w:cs="Helvetica"/>
          <w:szCs w:val="20"/>
        </w:rPr>
        <w:t>drie</w:t>
      </w:r>
      <w:r w:rsidR="0036020E" w:rsidRPr="008E33DF">
        <w:rPr>
          <w:rFonts w:cs="Helvetica"/>
          <w:szCs w:val="20"/>
        </w:rPr>
        <w:t xml:space="preserve"> uitspraken wordt de huur zelfs als reguliere huur aangemerkt. De wisselwoning </w:t>
      </w:r>
      <w:r w:rsidR="001730FB" w:rsidRPr="008E33DF">
        <w:rPr>
          <w:rFonts w:cs="Helvetica"/>
          <w:szCs w:val="20"/>
        </w:rPr>
        <w:t>die</w:t>
      </w:r>
      <w:r w:rsidR="0036020E" w:rsidRPr="008E33DF">
        <w:rPr>
          <w:rFonts w:cs="Helvetica"/>
          <w:szCs w:val="20"/>
        </w:rPr>
        <w:t xml:space="preserve"> ook in de parlementaire geschiedenis wordt genoemd komt maar één keer voor.</w:t>
      </w:r>
    </w:p>
    <w:p w:rsidR="00F7062E" w:rsidRPr="008E33DF" w:rsidRDefault="00F7062E" w:rsidP="00704F63">
      <w:pPr>
        <w:rPr>
          <w:rFonts w:cs="Helvetica"/>
          <w:szCs w:val="20"/>
        </w:rPr>
      </w:pPr>
    </w:p>
    <w:p w:rsidR="00211A7E" w:rsidRPr="008E33DF" w:rsidRDefault="00211A7E" w:rsidP="00704F63">
      <w:pPr>
        <w:rPr>
          <w:rFonts w:cs="Helvetica"/>
          <w:szCs w:val="20"/>
        </w:rPr>
      </w:pPr>
    </w:p>
    <w:p w:rsidR="00211A7E" w:rsidRPr="008E33DF" w:rsidRDefault="00211A7E" w:rsidP="00704F63">
      <w:pPr>
        <w:rPr>
          <w:rFonts w:cs="Helvetica"/>
          <w:szCs w:val="20"/>
        </w:rPr>
      </w:pPr>
    </w:p>
    <w:p w:rsidR="00211A7E" w:rsidRPr="008E33DF" w:rsidRDefault="00211A7E" w:rsidP="00704F63">
      <w:pPr>
        <w:rPr>
          <w:rFonts w:cs="Helvetica"/>
          <w:szCs w:val="20"/>
        </w:rPr>
      </w:pPr>
    </w:p>
    <w:p w:rsidR="00211A7E" w:rsidRPr="008E33DF" w:rsidRDefault="00211A7E" w:rsidP="00704F63">
      <w:pPr>
        <w:rPr>
          <w:rFonts w:cs="Helvetica"/>
          <w:szCs w:val="20"/>
        </w:rPr>
      </w:pPr>
    </w:p>
    <w:p w:rsidR="00211A7E" w:rsidRPr="008E33DF" w:rsidRDefault="00211A7E" w:rsidP="00704F63">
      <w:pPr>
        <w:rPr>
          <w:rFonts w:cs="Helvetica"/>
          <w:szCs w:val="20"/>
        </w:rPr>
      </w:pPr>
    </w:p>
    <w:p w:rsidR="00211A7E" w:rsidRPr="008E33DF" w:rsidRDefault="00211A7E" w:rsidP="00704F63">
      <w:pPr>
        <w:rPr>
          <w:rFonts w:cs="Helvetica"/>
          <w:szCs w:val="20"/>
        </w:rPr>
      </w:pPr>
    </w:p>
    <w:p w:rsidR="00211A7E" w:rsidRPr="008E33DF" w:rsidRDefault="00211A7E" w:rsidP="00704F63">
      <w:pPr>
        <w:rPr>
          <w:rFonts w:cs="Helvetica"/>
          <w:szCs w:val="20"/>
        </w:rPr>
      </w:pPr>
    </w:p>
    <w:p w:rsidR="00211A7E" w:rsidRPr="008E33DF" w:rsidRDefault="00211A7E" w:rsidP="00704F63">
      <w:pPr>
        <w:rPr>
          <w:rFonts w:cs="Helvetica"/>
          <w:szCs w:val="20"/>
        </w:rPr>
      </w:pPr>
    </w:p>
    <w:p w:rsidR="00211A7E" w:rsidRPr="008E33DF" w:rsidRDefault="00211A7E" w:rsidP="00704F63">
      <w:pPr>
        <w:rPr>
          <w:rFonts w:cs="Helvetica"/>
          <w:szCs w:val="20"/>
        </w:rPr>
      </w:pPr>
    </w:p>
    <w:p w:rsidR="00211A7E" w:rsidRPr="008E33DF" w:rsidRDefault="00211A7E" w:rsidP="00704F63">
      <w:pPr>
        <w:rPr>
          <w:rFonts w:cs="Helvetica"/>
          <w:szCs w:val="20"/>
        </w:rPr>
      </w:pPr>
    </w:p>
    <w:p w:rsidR="00211A7E" w:rsidRPr="008E33DF" w:rsidRDefault="00211A7E" w:rsidP="005E7558">
      <w:pPr>
        <w:pStyle w:val="Kop2"/>
      </w:pPr>
      <w:bookmarkStart w:id="44" w:name="_Toc454253672"/>
      <w:r w:rsidRPr="008E33DF">
        <w:lastRenderedPageBreak/>
        <w:t>5.3 Aard van het gebruik</w:t>
      </w:r>
      <w:bookmarkEnd w:id="44"/>
    </w:p>
    <w:p w:rsidR="00211A7E" w:rsidRPr="008E33DF" w:rsidRDefault="00211A7E" w:rsidP="00704F63">
      <w:pPr>
        <w:rPr>
          <w:rFonts w:cs="Helvetica"/>
          <w:szCs w:val="20"/>
        </w:rPr>
      </w:pPr>
      <w:r w:rsidRPr="008E33DF">
        <w:rPr>
          <w:rFonts w:cs="Helvetica"/>
          <w:szCs w:val="20"/>
        </w:rPr>
        <w:t xml:space="preserve">In deze paragraaf </w:t>
      </w:r>
      <w:r w:rsidR="001730FB" w:rsidRPr="008E33DF">
        <w:rPr>
          <w:rFonts w:cs="Helvetica"/>
          <w:szCs w:val="20"/>
        </w:rPr>
        <w:t>wordt</w:t>
      </w:r>
      <w:r w:rsidR="00FA5249" w:rsidRPr="008E33DF">
        <w:rPr>
          <w:rFonts w:cs="Helvetica"/>
          <w:szCs w:val="20"/>
        </w:rPr>
        <w:t xml:space="preserve"> de</w:t>
      </w:r>
      <w:r w:rsidR="001730FB" w:rsidRPr="008E33DF">
        <w:rPr>
          <w:rFonts w:cs="Helvetica"/>
          <w:szCs w:val="20"/>
        </w:rPr>
        <w:t xml:space="preserve"> </w:t>
      </w:r>
      <w:r w:rsidR="000F075E" w:rsidRPr="008E33DF">
        <w:rPr>
          <w:rFonts w:cs="Helvetica"/>
          <w:szCs w:val="20"/>
        </w:rPr>
        <w:t>beoordelings</w:t>
      </w:r>
      <w:r w:rsidR="001730FB" w:rsidRPr="008E33DF">
        <w:rPr>
          <w:rFonts w:cs="Helvetica"/>
          <w:szCs w:val="20"/>
        </w:rPr>
        <w:t>factor</w:t>
      </w:r>
      <w:r w:rsidRPr="008E33DF">
        <w:rPr>
          <w:rFonts w:cs="Helvetica"/>
          <w:szCs w:val="20"/>
        </w:rPr>
        <w:t xml:space="preserve"> </w:t>
      </w:r>
      <w:r w:rsidR="001730FB" w:rsidRPr="008E33DF">
        <w:rPr>
          <w:rFonts w:cs="Helvetica"/>
          <w:szCs w:val="20"/>
        </w:rPr>
        <w:t>'</w:t>
      </w:r>
      <w:r w:rsidRPr="008E33DF">
        <w:rPr>
          <w:rFonts w:cs="Helvetica"/>
          <w:szCs w:val="20"/>
        </w:rPr>
        <w:t>aard van h</w:t>
      </w:r>
      <w:r w:rsidR="00FA5249" w:rsidRPr="008E33DF">
        <w:rPr>
          <w:rFonts w:cs="Helvetica"/>
          <w:szCs w:val="20"/>
        </w:rPr>
        <w:t>et gebruik</w:t>
      </w:r>
      <w:r w:rsidR="001730FB" w:rsidRPr="008E33DF">
        <w:rPr>
          <w:rFonts w:cs="Helvetica"/>
          <w:szCs w:val="20"/>
        </w:rPr>
        <w:t>' behandeld</w:t>
      </w:r>
      <w:r w:rsidR="00FA5249" w:rsidRPr="008E33DF">
        <w:rPr>
          <w:rFonts w:cs="Helvetica"/>
          <w:szCs w:val="20"/>
        </w:rPr>
        <w:t>. Eerst wordt ingegaan op</w:t>
      </w:r>
      <w:r w:rsidR="001730FB" w:rsidRPr="008E33DF">
        <w:rPr>
          <w:rFonts w:cs="Helvetica"/>
          <w:szCs w:val="20"/>
        </w:rPr>
        <w:t xml:space="preserve"> </w:t>
      </w:r>
      <w:r w:rsidR="00FA5249" w:rsidRPr="008E33DF">
        <w:rPr>
          <w:rFonts w:cs="Helvetica"/>
          <w:szCs w:val="20"/>
        </w:rPr>
        <w:t xml:space="preserve">de feiten en omstandigheden van </w:t>
      </w:r>
      <w:r w:rsidRPr="008E33DF">
        <w:rPr>
          <w:rFonts w:cs="Helvetica"/>
          <w:szCs w:val="20"/>
        </w:rPr>
        <w:t xml:space="preserve">de uitspraken waarbij het beroep op art. 7:232 lid 2 BW wordt afgewezen. Vervolgens </w:t>
      </w:r>
      <w:r w:rsidR="00FA5249" w:rsidRPr="008E33DF">
        <w:rPr>
          <w:rFonts w:cs="Helvetica"/>
          <w:szCs w:val="20"/>
        </w:rPr>
        <w:t>komen</w:t>
      </w:r>
      <w:r w:rsidRPr="008E33DF">
        <w:rPr>
          <w:rFonts w:cs="Helvetica"/>
          <w:szCs w:val="20"/>
        </w:rPr>
        <w:t xml:space="preserve"> de feiten en omstandigheden waarbij het beroep op art. 7:232 lid 2 wordt toegewezen</w:t>
      </w:r>
      <w:r w:rsidR="00FA5249" w:rsidRPr="008E33DF">
        <w:rPr>
          <w:rFonts w:cs="Helvetica"/>
          <w:szCs w:val="20"/>
        </w:rPr>
        <w:t xml:space="preserve"> aan de orde. Ten slotte volgt e</w:t>
      </w:r>
      <w:r w:rsidR="000F075E" w:rsidRPr="008E33DF">
        <w:rPr>
          <w:rFonts w:cs="Helvetica"/>
          <w:szCs w:val="20"/>
        </w:rPr>
        <w:t xml:space="preserve">en </w:t>
      </w:r>
      <w:r w:rsidRPr="008E33DF">
        <w:rPr>
          <w:rFonts w:cs="Helvetica"/>
          <w:szCs w:val="20"/>
        </w:rPr>
        <w:t>conclusie</w:t>
      </w:r>
      <w:r w:rsidR="00FA5249" w:rsidRPr="008E33DF">
        <w:rPr>
          <w:rFonts w:cs="Helvetica"/>
          <w:szCs w:val="20"/>
        </w:rPr>
        <w:t>.</w:t>
      </w:r>
    </w:p>
    <w:p w:rsidR="000F075E" w:rsidRPr="008E33DF" w:rsidRDefault="000F075E" w:rsidP="00704F63">
      <w:pPr>
        <w:rPr>
          <w:rFonts w:cs="Helvetica"/>
          <w:szCs w:val="20"/>
        </w:rPr>
      </w:pPr>
    </w:p>
    <w:p w:rsidR="0075345C" w:rsidRPr="008E33DF" w:rsidRDefault="0075345C" w:rsidP="005E7558">
      <w:pPr>
        <w:pStyle w:val="Kop3"/>
      </w:pPr>
      <w:bookmarkStart w:id="45" w:name="_Toc454253673"/>
      <w:r w:rsidRPr="008E33DF">
        <w:t>5.3.1 Afgewezen uitspraken</w:t>
      </w:r>
      <w:bookmarkEnd w:id="45"/>
    </w:p>
    <w:p w:rsidR="00B42B99" w:rsidRPr="008E33DF" w:rsidRDefault="0085359D" w:rsidP="0075345C">
      <w:pPr>
        <w:spacing w:line="240" w:lineRule="auto"/>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noProof/>
          <w:color w:val="000000"/>
          <w:sz w:val="16"/>
          <w:szCs w:val="16"/>
          <w:lang w:eastAsia="nl-NL"/>
        </w:rPr>
        <w:drawing>
          <wp:anchor distT="0" distB="0" distL="114300" distR="114300" simplePos="0" relativeHeight="251687936" behindDoc="0" locked="0" layoutInCell="1" allowOverlap="1">
            <wp:simplePos x="0" y="0"/>
            <wp:positionH relativeFrom="column">
              <wp:posOffset>2835377</wp:posOffset>
            </wp:positionH>
            <wp:positionV relativeFrom="paragraph">
              <wp:posOffset>46888</wp:posOffset>
            </wp:positionV>
            <wp:extent cx="3174238" cy="2836393"/>
            <wp:effectExtent l="19050" t="0" r="26162" b="2057"/>
            <wp:wrapNone/>
            <wp:docPr id="1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11A7E" w:rsidRPr="008E33DF">
        <w:rPr>
          <w:rFonts w:ascii="Calibri" w:eastAsia="Times New Roman" w:hAnsi="Calibri" w:cs="Times New Roman"/>
          <w:b/>
          <w:bCs/>
          <w:color w:val="000000"/>
          <w:sz w:val="16"/>
          <w:szCs w:val="16"/>
          <w:lang w:eastAsia="nl-NL"/>
        </w:rPr>
        <w:t xml:space="preserve">Tabel 5, </w:t>
      </w:r>
      <w:r w:rsidR="00C25C96" w:rsidRPr="008E33DF">
        <w:rPr>
          <w:rFonts w:ascii="Calibri" w:eastAsia="Times New Roman" w:hAnsi="Calibri" w:cs="Times New Roman"/>
          <w:b/>
          <w:bCs/>
          <w:color w:val="000000"/>
          <w:sz w:val="16"/>
          <w:szCs w:val="16"/>
          <w:lang w:eastAsia="nl-NL"/>
        </w:rPr>
        <w:t>a</w:t>
      </w:r>
      <w:r w:rsidR="00211A7E" w:rsidRPr="008E33DF">
        <w:rPr>
          <w:rFonts w:ascii="Calibri" w:eastAsia="Times New Roman" w:hAnsi="Calibri" w:cs="Times New Roman"/>
          <w:b/>
          <w:bCs/>
          <w:color w:val="000000"/>
          <w:sz w:val="16"/>
          <w:szCs w:val="16"/>
          <w:lang w:eastAsia="nl-NL"/>
        </w:rPr>
        <w:t>ard van het gebruik</w:t>
      </w:r>
      <w:r w:rsidR="00B42B99" w:rsidRPr="008E33DF">
        <w:rPr>
          <w:rFonts w:ascii="Calibri" w:eastAsia="Times New Roman" w:hAnsi="Calibri" w:cs="Times New Roman"/>
          <w:b/>
          <w:bCs/>
          <w:color w:val="000000"/>
          <w:sz w:val="16"/>
          <w:szCs w:val="16"/>
          <w:lang w:eastAsia="nl-NL"/>
        </w:rPr>
        <w:t>, feiten en omstandigheden,</w:t>
      </w:r>
    </w:p>
    <w:p w:rsidR="00211A7E" w:rsidRPr="008E33DF" w:rsidRDefault="00211A7E" w:rsidP="0075345C">
      <w:pPr>
        <w:spacing w:line="240" w:lineRule="auto"/>
        <w:rPr>
          <w:sz w:val="16"/>
          <w:szCs w:val="16"/>
        </w:rPr>
      </w:pPr>
      <w:r w:rsidRPr="008E33DF">
        <w:rPr>
          <w:rFonts w:ascii="Calibri" w:eastAsia="Times New Roman" w:hAnsi="Calibri" w:cs="Times New Roman"/>
          <w:b/>
          <w:bCs/>
          <w:color w:val="000000"/>
          <w:sz w:val="16"/>
          <w:szCs w:val="16"/>
          <w:lang w:eastAsia="nl-NL"/>
        </w:rPr>
        <w:t xml:space="preserve">beroep op art. 7:232 lid 2 </w:t>
      </w:r>
      <w:r w:rsidR="00F26BCD" w:rsidRPr="008E33DF">
        <w:rPr>
          <w:rFonts w:ascii="Calibri" w:eastAsia="Times New Roman" w:hAnsi="Calibri" w:cs="Times New Roman"/>
          <w:b/>
          <w:bCs/>
          <w:color w:val="000000"/>
          <w:sz w:val="16"/>
          <w:szCs w:val="16"/>
          <w:lang w:eastAsia="nl-NL"/>
        </w:rPr>
        <w:t xml:space="preserve">BW </w:t>
      </w:r>
      <w:r w:rsidRPr="008E33DF">
        <w:rPr>
          <w:rFonts w:ascii="Calibri" w:eastAsia="Times New Roman" w:hAnsi="Calibri" w:cs="Times New Roman"/>
          <w:b/>
          <w:bCs/>
          <w:color w:val="000000"/>
          <w:sz w:val="16"/>
          <w:szCs w:val="16"/>
          <w:lang w:eastAsia="nl-NL"/>
        </w:rPr>
        <w:t>wordt afgewezen</w:t>
      </w:r>
      <w:r w:rsidR="00B42B99" w:rsidRPr="008E33DF">
        <w:rPr>
          <w:rFonts w:ascii="Calibri" w:eastAsia="Times New Roman" w:hAnsi="Calibri" w:cs="Times New Roman"/>
          <w:b/>
          <w:bCs/>
          <w:color w:val="000000"/>
          <w:sz w:val="16"/>
          <w:szCs w:val="16"/>
          <w:lang w:eastAsia="nl-NL"/>
        </w:rPr>
        <w:t xml:space="preserve"> (zie ook bijlage </w:t>
      </w:r>
      <w:r w:rsidR="000F075E" w:rsidRPr="008E33DF">
        <w:rPr>
          <w:rFonts w:ascii="Calibri" w:eastAsia="Times New Roman" w:hAnsi="Calibri" w:cs="Times New Roman"/>
          <w:b/>
          <w:bCs/>
          <w:color w:val="000000"/>
          <w:sz w:val="16"/>
          <w:szCs w:val="16"/>
          <w:lang w:eastAsia="nl-NL"/>
        </w:rPr>
        <w:t>5</w:t>
      </w:r>
      <w:r w:rsidRPr="008E33DF">
        <w:rPr>
          <w:rFonts w:ascii="Calibri" w:eastAsia="Times New Roman" w:hAnsi="Calibri" w:cs="Times New Roman"/>
          <w:b/>
          <w:bCs/>
          <w:color w:val="000000"/>
          <w:sz w:val="16"/>
          <w:szCs w:val="16"/>
          <w:lang w:eastAsia="nl-NL"/>
        </w:rPr>
        <w:t>).</w:t>
      </w:r>
    </w:p>
    <w:tbl>
      <w:tblPr>
        <w:tblStyle w:val="Lichtraster1"/>
        <w:tblW w:w="4253" w:type="dxa"/>
        <w:tblInd w:w="108" w:type="dxa"/>
        <w:tblLayout w:type="fixed"/>
        <w:tblLook w:val="04A0"/>
      </w:tblPr>
      <w:tblGrid>
        <w:gridCol w:w="817"/>
        <w:gridCol w:w="142"/>
        <w:gridCol w:w="425"/>
        <w:gridCol w:w="567"/>
        <w:gridCol w:w="567"/>
        <w:gridCol w:w="567"/>
        <w:gridCol w:w="567"/>
        <w:gridCol w:w="601"/>
      </w:tblGrid>
      <w:tr w:rsidR="00211A7E" w:rsidRPr="008E33DF" w:rsidTr="007B36E2">
        <w:trPr>
          <w:cnfStyle w:val="100000000000"/>
        </w:trPr>
        <w:tc>
          <w:tcPr>
            <w:cnfStyle w:val="001000000000"/>
            <w:tcW w:w="4253" w:type="dxa"/>
            <w:gridSpan w:val="8"/>
            <w:vAlign w:val="bottom"/>
          </w:tcPr>
          <w:p w:rsidR="00211A7E" w:rsidRPr="008E33DF" w:rsidRDefault="00211A7E" w:rsidP="0075345C">
            <w:pPr>
              <w:jc w:val="center"/>
              <w:rPr>
                <w:rFonts w:ascii="Calibri" w:eastAsia="Times New Roman" w:hAnsi="Calibri" w:cs="Times New Roman"/>
                <w:bCs w:val="0"/>
                <w:color w:val="000000"/>
                <w:szCs w:val="20"/>
                <w:lang w:eastAsia="nl-NL"/>
              </w:rPr>
            </w:pPr>
            <w:r w:rsidRPr="008E33DF">
              <w:rPr>
                <w:rFonts w:ascii="Calibri" w:eastAsia="Times New Roman" w:hAnsi="Calibri" w:cs="Times New Roman"/>
                <w:bCs w:val="0"/>
                <w:color w:val="000000"/>
                <w:szCs w:val="20"/>
                <w:lang w:eastAsia="nl-NL"/>
              </w:rPr>
              <w:t>Categorieën</w:t>
            </w:r>
          </w:p>
        </w:tc>
      </w:tr>
      <w:tr w:rsidR="007B36E2" w:rsidRPr="008E33DF" w:rsidTr="007B36E2">
        <w:trPr>
          <w:cnfStyle w:val="000000100000"/>
        </w:trPr>
        <w:tc>
          <w:tcPr>
            <w:cnfStyle w:val="001000000000"/>
            <w:tcW w:w="817" w:type="dxa"/>
            <w:tcBorders>
              <w:bottom w:val="single" w:sz="18" w:space="0" w:color="000000" w:themeColor="text1"/>
            </w:tcBorders>
            <w:shd w:val="clear" w:color="auto" w:fill="auto"/>
            <w:vAlign w:val="bottom"/>
          </w:tcPr>
          <w:p w:rsidR="007B36E2" w:rsidRPr="008E33DF" w:rsidRDefault="007B36E2" w:rsidP="008D7AA7">
            <w:pPr>
              <w:spacing w:line="240" w:lineRule="auto"/>
              <w:jc w:val="center"/>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Nummers uitspraken</w:t>
            </w:r>
          </w:p>
        </w:tc>
        <w:tc>
          <w:tcPr>
            <w:tcW w:w="567" w:type="dxa"/>
            <w:gridSpan w:val="2"/>
            <w:tcBorders>
              <w:bottom w:val="single" w:sz="18" w:space="0" w:color="000000" w:themeColor="text1"/>
            </w:tcBorders>
            <w:shd w:val="clear" w:color="auto" w:fill="17365D" w:themeFill="text2" w:themeFillShade="BF"/>
            <w:vAlign w:val="center"/>
          </w:tcPr>
          <w:p w:rsidR="007B36E2" w:rsidRPr="008E33DF" w:rsidRDefault="007B36E2" w:rsidP="008D7AA7">
            <w:pPr>
              <w:spacing w:line="240" w:lineRule="auto"/>
              <w:jc w:val="center"/>
              <w:cnfStyle w:val="000000100000"/>
              <w:rPr>
                <w:rFonts w:asciiTheme="minorHAnsi" w:eastAsia="Times New Roman" w:hAnsiTheme="minorHAnsi" w:cs="Times New Roman"/>
                <w:color w:val="0F253F"/>
                <w:sz w:val="12"/>
                <w:szCs w:val="12"/>
                <w:lang w:eastAsia="nl-NL"/>
              </w:rPr>
            </w:pPr>
          </w:p>
        </w:tc>
        <w:tc>
          <w:tcPr>
            <w:tcW w:w="567" w:type="dxa"/>
            <w:tcBorders>
              <w:bottom w:val="single" w:sz="18" w:space="0" w:color="000000" w:themeColor="text1"/>
            </w:tcBorders>
            <w:shd w:val="clear" w:color="auto" w:fill="943634" w:themeFill="accent2" w:themeFillShade="BF"/>
            <w:vAlign w:val="center"/>
          </w:tcPr>
          <w:p w:rsidR="007B36E2" w:rsidRPr="008E33DF" w:rsidRDefault="007B36E2" w:rsidP="008D7AA7">
            <w:pPr>
              <w:spacing w:line="240" w:lineRule="auto"/>
              <w:jc w:val="center"/>
              <w:cnfStyle w:val="000000100000"/>
              <w:rPr>
                <w:rFonts w:asciiTheme="minorHAnsi" w:eastAsia="Times New Roman" w:hAnsiTheme="minorHAnsi" w:cs="Times New Roman"/>
                <w:color w:val="4F6228"/>
                <w:sz w:val="12"/>
                <w:szCs w:val="12"/>
                <w:lang w:eastAsia="nl-NL"/>
              </w:rPr>
            </w:pPr>
          </w:p>
        </w:tc>
        <w:tc>
          <w:tcPr>
            <w:tcW w:w="567" w:type="dxa"/>
            <w:tcBorders>
              <w:bottom w:val="single" w:sz="18" w:space="0" w:color="000000" w:themeColor="text1"/>
            </w:tcBorders>
            <w:shd w:val="clear" w:color="auto" w:fill="76923C" w:themeFill="accent3" w:themeFillShade="BF"/>
            <w:vAlign w:val="center"/>
          </w:tcPr>
          <w:p w:rsidR="007B36E2" w:rsidRPr="008E33DF" w:rsidRDefault="007B36E2" w:rsidP="008D7AA7">
            <w:pPr>
              <w:spacing w:line="240" w:lineRule="auto"/>
              <w:jc w:val="center"/>
              <w:cnfStyle w:val="000000100000"/>
              <w:rPr>
                <w:rFonts w:asciiTheme="minorHAnsi" w:eastAsia="Times New Roman" w:hAnsiTheme="minorHAnsi" w:cs="Times New Roman"/>
                <w:color w:val="974807"/>
                <w:sz w:val="12"/>
                <w:szCs w:val="12"/>
                <w:lang w:eastAsia="nl-NL"/>
              </w:rPr>
            </w:pPr>
          </w:p>
        </w:tc>
        <w:tc>
          <w:tcPr>
            <w:tcW w:w="567" w:type="dxa"/>
            <w:tcBorders>
              <w:bottom w:val="single" w:sz="18" w:space="0" w:color="000000" w:themeColor="text1"/>
            </w:tcBorders>
            <w:shd w:val="clear" w:color="auto" w:fill="5F497A" w:themeFill="accent4" w:themeFillShade="BF"/>
            <w:vAlign w:val="center"/>
          </w:tcPr>
          <w:p w:rsidR="007B36E2" w:rsidRPr="008E33DF" w:rsidRDefault="007B36E2" w:rsidP="008D7AA7">
            <w:pPr>
              <w:spacing w:line="240" w:lineRule="auto"/>
              <w:jc w:val="center"/>
              <w:cnfStyle w:val="000000100000"/>
              <w:rPr>
                <w:rFonts w:asciiTheme="minorHAnsi" w:eastAsia="Times New Roman" w:hAnsiTheme="minorHAnsi" w:cs="Times New Roman"/>
                <w:color w:val="FF0000"/>
                <w:sz w:val="12"/>
                <w:szCs w:val="12"/>
                <w:lang w:eastAsia="nl-NL"/>
              </w:rPr>
            </w:pPr>
          </w:p>
        </w:tc>
        <w:tc>
          <w:tcPr>
            <w:tcW w:w="567" w:type="dxa"/>
            <w:tcBorders>
              <w:bottom w:val="single" w:sz="18" w:space="0" w:color="000000" w:themeColor="text1"/>
            </w:tcBorders>
            <w:shd w:val="clear" w:color="auto" w:fill="31849B" w:themeFill="accent5" w:themeFillShade="BF"/>
            <w:vAlign w:val="center"/>
          </w:tcPr>
          <w:p w:rsidR="007B36E2" w:rsidRPr="008E33DF" w:rsidRDefault="007B36E2" w:rsidP="008D7AA7">
            <w:pPr>
              <w:spacing w:line="240" w:lineRule="auto"/>
              <w:jc w:val="center"/>
              <w:cnfStyle w:val="000000100000"/>
              <w:rPr>
                <w:rFonts w:asciiTheme="minorHAnsi" w:eastAsia="Times New Roman" w:hAnsiTheme="minorHAnsi" w:cs="Times New Roman"/>
                <w:color w:val="7030A0"/>
                <w:sz w:val="12"/>
                <w:szCs w:val="12"/>
                <w:lang w:eastAsia="nl-NL"/>
              </w:rPr>
            </w:pPr>
          </w:p>
        </w:tc>
        <w:tc>
          <w:tcPr>
            <w:tcW w:w="601" w:type="dxa"/>
            <w:tcBorders>
              <w:bottom w:val="single" w:sz="18" w:space="0" w:color="000000" w:themeColor="text1"/>
            </w:tcBorders>
            <w:shd w:val="clear" w:color="auto" w:fill="auto"/>
            <w:vAlign w:val="bottom"/>
          </w:tcPr>
          <w:p w:rsidR="007B36E2" w:rsidRPr="008E33DF" w:rsidRDefault="007B36E2" w:rsidP="008D7AA7">
            <w:pPr>
              <w:spacing w:line="240" w:lineRule="auto"/>
              <w:jc w:val="center"/>
              <w:cnfStyle w:val="000000100000"/>
              <w:rPr>
                <w:rFonts w:asciiTheme="minorHAnsi" w:hAnsiTheme="minorHAnsi"/>
                <w:sz w:val="12"/>
                <w:szCs w:val="12"/>
              </w:rPr>
            </w:pPr>
          </w:p>
        </w:tc>
      </w:tr>
      <w:tr w:rsidR="007B36E2" w:rsidRPr="008E33DF" w:rsidTr="007B36E2">
        <w:trPr>
          <w:cnfStyle w:val="000000010000"/>
        </w:trPr>
        <w:tc>
          <w:tcPr>
            <w:cnfStyle w:val="001000000000"/>
            <w:tcW w:w="817" w:type="dxa"/>
            <w:tcBorders>
              <w:top w:val="single" w:sz="18" w:space="0" w:color="000000" w:themeColor="text1"/>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6</w:t>
            </w:r>
          </w:p>
        </w:tc>
        <w:tc>
          <w:tcPr>
            <w:tcW w:w="567" w:type="dxa"/>
            <w:gridSpan w:val="2"/>
            <w:tcBorders>
              <w:top w:val="single" w:sz="18" w:space="0" w:color="000000" w:themeColor="text1"/>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01" w:type="dxa"/>
            <w:tcBorders>
              <w:top w:val="single" w:sz="18" w:space="0" w:color="000000" w:themeColor="text1"/>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7B36E2">
        <w:trPr>
          <w:cnfStyle w:val="00000010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11</w:t>
            </w:r>
          </w:p>
        </w:tc>
        <w:tc>
          <w:tcPr>
            <w:tcW w:w="567" w:type="dxa"/>
            <w:gridSpan w:val="2"/>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7B36E2">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15</w:t>
            </w:r>
          </w:p>
        </w:tc>
        <w:tc>
          <w:tcPr>
            <w:tcW w:w="567" w:type="dxa"/>
            <w:gridSpan w:val="2"/>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7B36E2">
        <w:trPr>
          <w:cnfStyle w:val="00000010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17</w:t>
            </w:r>
          </w:p>
        </w:tc>
        <w:tc>
          <w:tcPr>
            <w:tcW w:w="567" w:type="dxa"/>
            <w:gridSpan w:val="2"/>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7B36E2">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18</w:t>
            </w:r>
          </w:p>
        </w:tc>
        <w:tc>
          <w:tcPr>
            <w:tcW w:w="567" w:type="dxa"/>
            <w:gridSpan w:val="2"/>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7B36E2">
        <w:trPr>
          <w:cnfStyle w:val="00000010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19</w:t>
            </w:r>
          </w:p>
        </w:tc>
        <w:tc>
          <w:tcPr>
            <w:tcW w:w="567" w:type="dxa"/>
            <w:gridSpan w:val="2"/>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7B36E2">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20</w:t>
            </w:r>
          </w:p>
        </w:tc>
        <w:tc>
          <w:tcPr>
            <w:tcW w:w="567" w:type="dxa"/>
            <w:gridSpan w:val="2"/>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7B36E2">
        <w:trPr>
          <w:cnfStyle w:val="00000010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22</w:t>
            </w:r>
          </w:p>
        </w:tc>
        <w:tc>
          <w:tcPr>
            <w:tcW w:w="567" w:type="dxa"/>
            <w:gridSpan w:val="2"/>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7B36E2">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23</w:t>
            </w:r>
          </w:p>
        </w:tc>
        <w:tc>
          <w:tcPr>
            <w:tcW w:w="567" w:type="dxa"/>
            <w:gridSpan w:val="2"/>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7B36E2">
        <w:trPr>
          <w:cnfStyle w:val="00000010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24</w:t>
            </w:r>
          </w:p>
        </w:tc>
        <w:tc>
          <w:tcPr>
            <w:tcW w:w="567" w:type="dxa"/>
            <w:gridSpan w:val="2"/>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7B36E2">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30</w:t>
            </w:r>
          </w:p>
        </w:tc>
        <w:tc>
          <w:tcPr>
            <w:tcW w:w="567" w:type="dxa"/>
            <w:gridSpan w:val="2"/>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7B36E2">
        <w:trPr>
          <w:cnfStyle w:val="00000010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32</w:t>
            </w:r>
          </w:p>
        </w:tc>
        <w:tc>
          <w:tcPr>
            <w:tcW w:w="567" w:type="dxa"/>
            <w:gridSpan w:val="2"/>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7B36E2">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34</w:t>
            </w:r>
          </w:p>
        </w:tc>
        <w:tc>
          <w:tcPr>
            <w:tcW w:w="567" w:type="dxa"/>
            <w:gridSpan w:val="2"/>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7B36E2">
        <w:trPr>
          <w:cnfStyle w:val="000000100000"/>
        </w:trPr>
        <w:tc>
          <w:tcPr>
            <w:cnfStyle w:val="001000000000"/>
            <w:tcW w:w="817" w:type="dxa"/>
            <w:tcBorders>
              <w:top w:val="dotted" w:sz="4" w:space="0" w:color="auto"/>
              <w:bottom w:val="single" w:sz="18" w:space="0" w:color="000000" w:themeColor="text1"/>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39</w:t>
            </w:r>
          </w:p>
        </w:tc>
        <w:tc>
          <w:tcPr>
            <w:tcW w:w="567" w:type="dxa"/>
            <w:gridSpan w:val="2"/>
            <w:tcBorders>
              <w:top w:val="dotted" w:sz="4" w:space="0" w:color="auto"/>
              <w:bottom w:val="single" w:sz="18" w:space="0" w:color="000000" w:themeColor="text1"/>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single" w:sz="18" w:space="0" w:color="000000" w:themeColor="text1"/>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single" w:sz="18" w:space="0" w:color="000000" w:themeColor="text1"/>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single" w:sz="18" w:space="0" w:color="000000" w:themeColor="text1"/>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single" w:sz="18" w:space="0" w:color="000000" w:themeColor="text1"/>
              <w:right w:val="dotted" w:sz="4" w:space="0" w:color="auto"/>
            </w:tcBorders>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601" w:type="dxa"/>
            <w:tcBorders>
              <w:top w:val="dotted" w:sz="4" w:space="0" w:color="auto"/>
              <w:left w:val="single" w:sz="18" w:space="0" w:color="000000" w:themeColor="text1"/>
              <w:bottom w:val="single" w:sz="18" w:space="0" w:color="000000" w:themeColor="text1"/>
              <w:right w:val="single" w:sz="18" w:space="0" w:color="000000" w:themeColor="text1"/>
            </w:tcBorders>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7B36E2">
        <w:trPr>
          <w:cnfStyle w:val="000000010000"/>
        </w:trPr>
        <w:tc>
          <w:tcPr>
            <w:cnfStyle w:val="001000000000"/>
            <w:tcW w:w="817" w:type="dxa"/>
            <w:tcBorders>
              <w:top w:val="single" w:sz="18" w:space="0" w:color="000000" w:themeColor="text1"/>
              <w:left w:val="single" w:sz="18" w:space="0" w:color="000000" w:themeColor="text1"/>
              <w:bottom w:val="single" w:sz="18" w:space="0" w:color="000000" w:themeColor="text1"/>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14</w:t>
            </w:r>
          </w:p>
        </w:tc>
        <w:tc>
          <w:tcPr>
            <w:tcW w:w="567" w:type="dxa"/>
            <w:gridSpan w:val="2"/>
            <w:tcBorders>
              <w:top w:val="single" w:sz="18" w:space="0" w:color="000000" w:themeColor="text1"/>
              <w:bottom w:val="single" w:sz="18" w:space="0" w:color="000000" w:themeColor="text1"/>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4</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6</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6</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2</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1</w:t>
            </w:r>
          </w:p>
        </w:tc>
        <w:tc>
          <w:tcPr>
            <w:tcW w:w="601" w:type="dxa"/>
            <w:tcBorders>
              <w:top w:val="single" w:sz="18" w:space="0" w:color="000000" w:themeColor="text1"/>
              <w:left w:val="single" w:sz="18" w:space="0" w:color="000000" w:themeColor="text1"/>
              <w:bottom w:val="single" w:sz="18" w:space="0" w:color="000000" w:themeColor="text1"/>
              <w:right w:val="single" w:sz="12"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Totaal</w:t>
            </w:r>
          </w:p>
        </w:tc>
      </w:tr>
      <w:tr w:rsidR="00211A7E" w:rsidRPr="008E33DF" w:rsidTr="007B36E2">
        <w:trPr>
          <w:cnfStyle w:val="000000100000"/>
        </w:trPr>
        <w:tc>
          <w:tcPr>
            <w:cnfStyle w:val="001000000000"/>
            <w:tcW w:w="959" w:type="dxa"/>
            <w:gridSpan w:val="2"/>
            <w:tcBorders>
              <w:top w:val="single" w:sz="18" w:space="0" w:color="000000" w:themeColor="text1"/>
              <w:right w:val="dotted" w:sz="4" w:space="0" w:color="auto"/>
            </w:tcBorders>
            <w:shd w:val="clear" w:color="auto" w:fill="17365D" w:themeFill="text2" w:themeFillShade="BF"/>
            <w:vAlign w:val="center"/>
          </w:tcPr>
          <w:p w:rsidR="00211A7E" w:rsidRPr="008E33DF" w:rsidRDefault="00211A7E" w:rsidP="008D7AA7">
            <w:pPr>
              <w:spacing w:line="240" w:lineRule="auto"/>
              <w:jc w:val="center"/>
              <w:rPr>
                <w:rFonts w:asciiTheme="minorHAnsi" w:hAnsiTheme="minorHAnsi"/>
                <w:sz w:val="12"/>
                <w:szCs w:val="12"/>
              </w:rPr>
            </w:pPr>
          </w:p>
        </w:tc>
        <w:tc>
          <w:tcPr>
            <w:tcW w:w="3294" w:type="dxa"/>
            <w:gridSpan w:val="6"/>
            <w:tcBorders>
              <w:top w:val="single" w:sz="18" w:space="0" w:color="000000" w:themeColor="text1"/>
            </w:tcBorders>
            <w:shd w:val="clear" w:color="auto" w:fill="auto"/>
            <w:vAlign w:val="bottom"/>
          </w:tcPr>
          <w:p w:rsidR="00211A7E" w:rsidRPr="008E33DF" w:rsidRDefault="00211A7E" w:rsidP="008D7AA7">
            <w:pPr>
              <w:spacing w:line="240" w:lineRule="auto"/>
              <w:cnfStyle w:val="000000100000"/>
              <w:rPr>
                <w:rFonts w:asciiTheme="minorHAnsi" w:hAnsiTheme="minorHAnsi"/>
                <w:b/>
                <w:sz w:val="12"/>
                <w:szCs w:val="12"/>
              </w:rPr>
            </w:pPr>
            <w:r w:rsidRPr="008E33DF">
              <w:rPr>
                <w:rFonts w:asciiTheme="minorHAnsi" w:hAnsiTheme="minorHAnsi"/>
                <w:b/>
                <w:sz w:val="12"/>
                <w:szCs w:val="12"/>
              </w:rPr>
              <w:t>Aanwe</w:t>
            </w:r>
            <w:r w:rsidR="008877D9" w:rsidRPr="008E33DF">
              <w:rPr>
                <w:rFonts w:asciiTheme="minorHAnsi" w:hAnsiTheme="minorHAnsi"/>
                <w:b/>
                <w:sz w:val="12"/>
                <w:szCs w:val="12"/>
              </w:rPr>
              <w:t>zigheid van de mogelijkheid van</w:t>
            </w:r>
            <w:r w:rsidRPr="008E33DF">
              <w:rPr>
                <w:rFonts w:asciiTheme="minorHAnsi" w:hAnsiTheme="minorHAnsi"/>
                <w:b/>
                <w:sz w:val="12"/>
                <w:szCs w:val="12"/>
              </w:rPr>
              <w:t xml:space="preserve"> beroep op een andere regeling in de wet</w:t>
            </w:r>
          </w:p>
        </w:tc>
      </w:tr>
      <w:tr w:rsidR="00211A7E" w:rsidRPr="008E33DF" w:rsidTr="007B36E2">
        <w:trPr>
          <w:cnfStyle w:val="000000010000"/>
        </w:trPr>
        <w:tc>
          <w:tcPr>
            <w:cnfStyle w:val="001000000000"/>
            <w:tcW w:w="959" w:type="dxa"/>
            <w:gridSpan w:val="2"/>
            <w:tcBorders>
              <w:right w:val="dotted" w:sz="4" w:space="0" w:color="auto"/>
            </w:tcBorders>
            <w:shd w:val="clear" w:color="auto" w:fill="943634" w:themeFill="accent2" w:themeFillShade="BF"/>
            <w:vAlign w:val="center"/>
          </w:tcPr>
          <w:p w:rsidR="00211A7E" w:rsidRPr="008E33DF" w:rsidRDefault="00211A7E" w:rsidP="008D7AA7">
            <w:pPr>
              <w:spacing w:line="240" w:lineRule="auto"/>
              <w:jc w:val="center"/>
              <w:rPr>
                <w:rFonts w:asciiTheme="minorHAnsi" w:hAnsiTheme="minorHAnsi"/>
                <w:sz w:val="12"/>
                <w:szCs w:val="12"/>
              </w:rPr>
            </w:pPr>
          </w:p>
        </w:tc>
        <w:tc>
          <w:tcPr>
            <w:tcW w:w="3294" w:type="dxa"/>
            <w:gridSpan w:val="6"/>
            <w:shd w:val="clear" w:color="auto" w:fill="auto"/>
            <w:vAlign w:val="bottom"/>
          </w:tcPr>
          <w:p w:rsidR="00211A7E" w:rsidRPr="008E33DF" w:rsidRDefault="00211A7E" w:rsidP="008D7AA7">
            <w:pPr>
              <w:spacing w:line="240" w:lineRule="auto"/>
              <w:cnfStyle w:val="000000010000"/>
              <w:rPr>
                <w:rFonts w:asciiTheme="minorHAnsi" w:hAnsiTheme="minorHAnsi"/>
                <w:b/>
                <w:sz w:val="12"/>
                <w:szCs w:val="12"/>
              </w:rPr>
            </w:pPr>
            <w:r w:rsidRPr="008E33DF">
              <w:rPr>
                <w:rFonts w:asciiTheme="minorHAnsi" w:hAnsiTheme="minorHAnsi"/>
                <w:b/>
                <w:sz w:val="12"/>
                <w:szCs w:val="12"/>
              </w:rPr>
              <w:t>Beperking in</w:t>
            </w:r>
            <w:r w:rsidR="001A5A2D" w:rsidRPr="008E33DF">
              <w:rPr>
                <w:rFonts w:asciiTheme="minorHAnsi" w:hAnsiTheme="minorHAnsi"/>
                <w:b/>
                <w:sz w:val="12"/>
                <w:szCs w:val="12"/>
              </w:rPr>
              <w:t xml:space="preserve"> het</w:t>
            </w:r>
            <w:r w:rsidRPr="008E33DF">
              <w:rPr>
                <w:rFonts w:asciiTheme="minorHAnsi" w:hAnsiTheme="minorHAnsi"/>
                <w:b/>
                <w:sz w:val="12"/>
                <w:szCs w:val="12"/>
              </w:rPr>
              <w:t xml:space="preserve"> gebruik van de woning</w:t>
            </w:r>
          </w:p>
        </w:tc>
      </w:tr>
      <w:tr w:rsidR="00211A7E" w:rsidRPr="008E33DF" w:rsidTr="007B36E2">
        <w:trPr>
          <w:cnfStyle w:val="000000100000"/>
        </w:trPr>
        <w:tc>
          <w:tcPr>
            <w:cnfStyle w:val="001000000000"/>
            <w:tcW w:w="959" w:type="dxa"/>
            <w:gridSpan w:val="2"/>
            <w:tcBorders>
              <w:right w:val="dotted" w:sz="4" w:space="0" w:color="auto"/>
            </w:tcBorders>
            <w:shd w:val="clear" w:color="auto" w:fill="76923C" w:themeFill="accent3" w:themeFillShade="BF"/>
            <w:vAlign w:val="center"/>
          </w:tcPr>
          <w:p w:rsidR="00211A7E" w:rsidRPr="008E33DF" w:rsidRDefault="00211A7E" w:rsidP="008D7AA7">
            <w:pPr>
              <w:spacing w:line="240" w:lineRule="auto"/>
              <w:jc w:val="center"/>
              <w:rPr>
                <w:rFonts w:asciiTheme="minorHAnsi" w:hAnsiTheme="minorHAnsi"/>
                <w:sz w:val="12"/>
                <w:szCs w:val="12"/>
              </w:rPr>
            </w:pPr>
          </w:p>
        </w:tc>
        <w:tc>
          <w:tcPr>
            <w:tcW w:w="3294" w:type="dxa"/>
            <w:gridSpan w:val="6"/>
            <w:shd w:val="clear" w:color="auto" w:fill="auto"/>
            <w:vAlign w:val="bottom"/>
          </w:tcPr>
          <w:p w:rsidR="00211A7E" w:rsidRPr="008E33DF" w:rsidRDefault="00211A7E" w:rsidP="008D7AA7">
            <w:pPr>
              <w:spacing w:line="240" w:lineRule="auto"/>
              <w:cnfStyle w:val="000000100000"/>
              <w:rPr>
                <w:rFonts w:asciiTheme="minorHAnsi" w:hAnsiTheme="minorHAnsi"/>
                <w:b/>
                <w:sz w:val="12"/>
                <w:szCs w:val="12"/>
              </w:rPr>
            </w:pPr>
            <w:r w:rsidRPr="008E33DF">
              <w:rPr>
                <w:rFonts w:asciiTheme="minorHAnsi" w:hAnsiTheme="minorHAnsi"/>
                <w:b/>
                <w:sz w:val="12"/>
                <w:szCs w:val="12"/>
              </w:rPr>
              <w:t>Beperking in de beschikbaarheid van de woning</w:t>
            </w:r>
          </w:p>
        </w:tc>
      </w:tr>
      <w:tr w:rsidR="00211A7E" w:rsidRPr="008E33DF" w:rsidTr="007B36E2">
        <w:trPr>
          <w:cnfStyle w:val="000000010000"/>
        </w:trPr>
        <w:tc>
          <w:tcPr>
            <w:cnfStyle w:val="001000000000"/>
            <w:tcW w:w="959" w:type="dxa"/>
            <w:gridSpan w:val="2"/>
            <w:tcBorders>
              <w:right w:val="dotted" w:sz="4" w:space="0" w:color="auto"/>
            </w:tcBorders>
            <w:shd w:val="clear" w:color="auto" w:fill="5F497A" w:themeFill="accent4" w:themeFillShade="BF"/>
            <w:vAlign w:val="center"/>
          </w:tcPr>
          <w:p w:rsidR="00211A7E" w:rsidRPr="008E33DF" w:rsidRDefault="00211A7E" w:rsidP="008D7AA7">
            <w:pPr>
              <w:spacing w:line="240" w:lineRule="auto"/>
              <w:jc w:val="center"/>
              <w:rPr>
                <w:rFonts w:asciiTheme="minorHAnsi" w:hAnsiTheme="minorHAnsi"/>
                <w:sz w:val="12"/>
                <w:szCs w:val="12"/>
              </w:rPr>
            </w:pPr>
          </w:p>
        </w:tc>
        <w:tc>
          <w:tcPr>
            <w:tcW w:w="3294" w:type="dxa"/>
            <w:gridSpan w:val="6"/>
            <w:shd w:val="clear" w:color="auto" w:fill="auto"/>
            <w:vAlign w:val="bottom"/>
          </w:tcPr>
          <w:p w:rsidR="00211A7E" w:rsidRPr="008E33DF" w:rsidRDefault="00211A7E" w:rsidP="008D7AA7">
            <w:pPr>
              <w:spacing w:line="240" w:lineRule="auto"/>
              <w:cnfStyle w:val="000000010000"/>
              <w:rPr>
                <w:rFonts w:asciiTheme="minorHAnsi" w:hAnsiTheme="minorHAnsi"/>
                <w:b/>
                <w:sz w:val="12"/>
                <w:szCs w:val="12"/>
              </w:rPr>
            </w:pPr>
            <w:r w:rsidRPr="008E33DF">
              <w:rPr>
                <w:rFonts w:asciiTheme="minorHAnsi" w:hAnsiTheme="minorHAnsi"/>
                <w:b/>
                <w:sz w:val="12"/>
                <w:szCs w:val="12"/>
              </w:rPr>
              <w:t>Huurprijs</w:t>
            </w:r>
          </w:p>
        </w:tc>
      </w:tr>
      <w:tr w:rsidR="00211A7E" w:rsidRPr="008E33DF" w:rsidTr="007B36E2">
        <w:trPr>
          <w:cnfStyle w:val="000000100000"/>
        </w:trPr>
        <w:tc>
          <w:tcPr>
            <w:cnfStyle w:val="001000000000"/>
            <w:tcW w:w="959" w:type="dxa"/>
            <w:gridSpan w:val="2"/>
            <w:tcBorders>
              <w:right w:val="dotted" w:sz="4" w:space="0" w:color="auto"/>
            </w:tcBorders>
            <w:shd w:val="clear" w:color="auto" w:fill="31849B" w:themeFill="accent5" w:themeFillShade="BF"/>
            <w:vAlign w:val="center"/>
          </w:tcPr>
          <w:p w:rsidR="00211A7E" w:rsidRPr="008E33DF" w:rsidRDefault="00211A7E" w:rsidP="008D7AA7">
            <w:pPr>
              <w:spacing w:line="240" w:lineRule="auto"/>
              <w:jc w:val="center"/>
              <w:rPr>
                <w:rFonts w:asciiTheme="minorHAnsi" w:hAnsiTheme="minorHAnsi"/>
                <w:sz w:val="12"/>
                <w:szCs w:val="12"/>
              </w:rPr>
            </w:pPr>
          </w:p>
        </w:tc>
        <w:tc>
          <w:tcPr>
            <w:tcW w:w="3294" w:type="dxa"/>
            <w:gridSpan w:val="6"/>
            <w:shd w:val="clear" w:color="auto" w:fill="auto"/>
            <w:vAlign w:val="bottom"/>
          </w:tcPr>
          <w:p w:rsidR="00211A7E" w:rsidRPr="008E33DF" w:rsidRDefault="00F70F91" w:rsidP="008D7AA7">
            <w:pPr>
              <w:spacing w:line="240" w:lineRule="auto"/>
              <w:cnfStyle w:val="000000100000"/>
              <w:rPr>
                <w:rFonts w:asciiTheme="minorHAnsi" w:hAnsiTheme="minorHAnsi"/>
                <w:b/>
                <w:sz w:val="12"/>
                <w:szCs w:val="12"/>
              </w:rPr>
            </w:pPr>
            <w:r w:rsidRPr="008E33DF">
              <w:rPr>
                <w:rFonts w:asciiTheme="minorHAnsi" w:hAnsiTheme="minorHAnsi"/>
                <w:b/>
                <w:sz w:val="12"/>
                <w:szCs w:val="12"/>
              </w:rPr>
              <w:t>Kostendrager van het</w:t>
            </w:r>
            <w:r w:rsidR="00211A7E" w:rsidRPr="008E33DF">
              <w:rPr>
                <w:rFonts w:asciiTheme="minorHAnsi" w:hAnsiTheme="minorHAnsi"/>
                <w:b/>
                <w:sz w:val="12"/>
                <w:szCs w:val="12"/>
              </w:rPr>
              <w:t xml:space="preserve"> servicecontract en/of</w:t>
            </w:r>
            <w:r w:rsidRPr="008E33DF">
              <w:rPr>
                <w:rFonts w:asciiTheme="minorHAnsi" w:hAnsiTheme="minorHAnsi"/>
                <w:b/>
                <w:sz w:val="12"/>
                <w:szCs w:val="12"/>
              </w:rPr>
              <w:t xml:space="preserve"> het</w:t>
            </w:r>
            <w:r w:rsidR="00211A7E" w:rsidRPr="008E33DF">
              <w:rPr>
                <w:rFonts w:asciiTheme="minorHAnsi" w:hAnsiTheme="minorHAnsi"/>
                <w:b/>
                <w:sz w:val="12"/>
                <w:szCs w:val="12"/>
              </w:rPr>
              <w:t xml:space="preserve"> onderhoud</w:t>
            </w:r>
          </w:p>
        </w:tc>
      </w:tr>
    </w:tbl>
    <w:p w:rsidR="00211A7E" w:rsidRPr="008E33DF" w:rsidRDefault="00211A7E" w:rsidP="00704F63">
      <w:pPr>
        <w:rPr>
          <w:rFonts w:cs="Helvetica"/>
          <w:szCs w:val="20"/>
        </w:rPr>
      </w:pPr>
    </w:p>
    <w:p w:rsidR="003B3885" w:rsidRPr="008E33DF" w:rsidRDefault="000A4134" w:rsidP="00704F63">
      <w:pPr>
        <w:rPr>
          <w:rFonts w:cs="Helvetica"/>
          <w:szCs w:val="20"/>
        </w:rPr>
      </w:pPr>
      <w:r w:rsidRPr="008E33DF">
        <w:rPr>
          <w:rFonts w:cs="Helvetica"/>
          <w:szCs w:val="20"/>
        </w:rPr>
        <w:t>Tabel 5 bevat de feiten en omstandigheden</w:t>
      </w:r>
      <w:r w:rsidR="00006AE8" w:rsidRPr="008E33DF">
        <w:rPr>
          <w:rFonts w:cs="Helvetica"/>
          <w:szCs w:val="20"/>
        </w:rPr>
        <w:t xml:space="preserve"> die van belang zijn voor de rechter bij het toetsen op de aard van het gebruik</w:t>
      </w:r>
      <w:r w:rsidRPr="008E33DF">
        <w:rPr>
          <w:rFonts w:cs="Helvetica"/>
          <w:szCs w:val="20"/>
        </w:rPr>
        <w:t xml:space="preserve"> van de uitspraken waarbij het beroep op art. 7:232 lid 2 </w:t>
      </w:r>
      <w:r w:rsidR="00006AE8" w:rsidRPr="008E33DF">
        <w:rPr>
          <w:rFonts w:cs="Helvetica"/>
          <w:szCs w:val="20"/>
        </w:rPr>
        <w:t xml:space="preserve">BW </w:t>
      </w:r>
      <w:r w:rsidRPr="008E33DF">
        <w:rPr>
          <w:rFonts w:cs="Helvetica"/>
          <w:szCs w:val="20"/>
        </w:rPr>
        <w:t xml:space="preserve">wordt afgewezen. </w:t>
      </w:r>
      <w:r w:rsidR="00F5297D" w:rsidRPr="008E33DF">
        <w:rPr>
          <w:rFonts w:cs="Helvetica"/>
          <w:szCs w:val="20"/>
        </w:rPr>
        <w:t xml:space="preserve">Uit </w:t>
      </w:r>
      <w:r w:rsidR="00FA5249" w:rsidRPr="008E33DF">
        <w:rPr>
          <w:rFonts w:cs="Helvetica"/>
          <w:szCs w:val="20"/>
        </w:rPr>
        <w:t>de</w:t>
      </w:r>
      <w:r w:rsidR="00F5297D" w:rsidRPr="008E33DF">
        <w:rPr>
          <w:rFonts w:cs="Helvetica"/>
          <w:szCs w:val="20"/>
        </w:rPr>
        <w:t xml:space="preserve"> tabel valt </w:t>
      </w:r>
      <w:r w:rsidR="0036020E" w:rsidRPr="008E33DF">
        <w:rPr>
          <w:rFonts w:cs="Helvetica"/>
          <w:szCs w:val="20"/>
        </w:rPr>
        <w:t xml:space="preserve">af </w:t>
      </w:r>
      <w:r w:rsidR="00F5297D" w:rsidRPr="008E33DF">
        <w:rPr>
          <w:rFonts w:cs="Helvetica"/>
          <w:szCs w:val="20"/>
        </w:rPr>
        <w:t>te lezen</w:t>
      </w:r>
      <w:r w:rsidR="001730FB" w:rsidRPr="008E33DF">
        <w:rPr>
          <w:rFonts w:cs="Helvetica"/>
          <w:szCs w:val="20"/>
        </w:rPr>
        <w:t>,</w:t>
      </w:r>
      <w:r w:rsidR="00F5297D" w:rsidRPr="008E33DF">
        <w:rPr>
          <w:rFonts w:cs="Helvetica"/>
          <w:szCs w:val="20"/>
        </w:rPr>
        <w:t xml:space="preserve"> dat</w:t>
      </w:r>
      <w:r w:rsidR="0066531E" w:rsidRPr="008E33DF">
        <w:rPr>
          <w:rFonts w:cs="Helvetica"/>
          <w:szCs w:val="20"/>
        </w:rPr>
        <w:t xml:space="preserve"> de rechter bij de toet</w:t>
      </w:r>
      <w:r w:rsidR="001730FB" w:rsidRPr="008E33DF">
        <w:rPr>
          <w:rFonts w:cs="Helvetica"/>
          <w:szCs w:val="20"/>
        </w:rPr>
        <w:t>sing op de aard van het gebruik</w:t>
      </w:r>
      <w:r w:rsidR="0066531E" w:rsidRPr="008E33DF">
        <w:rPr>
          <w:rFonts w:cs="Helvetica"/>
          <w:szCs w:val="20"/>
        </w:rPr>
        <w:t xml:space="preserve"> vooral heeft gekeken naar de feiten en om</w:t>
      </w:r>
      <w:r w:rsidR="001730FB" w:rsidRPr="008E33DF">
        <w:rPr>
          <w:rFonts w:cs="Helvetica"/>
          <w:szCs w:val="20"/>
        </w:rPr>
        <w:t>standigheden uit de categorieën</w:t>
      </w:r>
      <w:r w:rsidR="0066531E" w:rsidRPr="008E33DF">
        <w:rPr>
          <w:rFonts w:cs="Helvetica"/>
          <w:szCs w:val="20"/>
        </w:rPr>
        <w:t xml:space="preserve"> </w:t>
      </w:r>
      <w:r w:rsidR="001730FB" w:rsidRPr="008E33DF">
        <w:rPr>
          <w:rFonts w:cs="Helvetica"/>
          <w:szCs w:val="20"/>
        </w:rPr>
        <w:t>'</w:t>
      </w:r>
      <w:r w:rsidR="0066531E" w:rsidRPr="008E33DF">
        <w:rPr>
          <w:rFonts w:cs="Helvetica"/>
          <w:szCs w:val="20"/>
        </w:rPr>
        <w:t>beperking in gebruik van de woning</w:t>
      </w:r>
      <w:r w:rsidR="001730FB" w:rsidRPr="008E33DF">
        <w:rPr>
          <w:rFonts w:cs="Helvetica"/>
          <w:szCs w:val="20"/>
        </w:rPr>
        <w:t>'</w:t>
      </w:r>
      <w:r w:rsidR="00C12065" w:rsidRPr="008E33DF">
        <w:rPr>
          <w:rFonts w:cs="Helvetica"/>
          <w:szCs w:val="20"/>
        </w:rPr>
        <w:t xml:space="preserve"> en </w:t>
      </w:r>
      <w:r w:rsidR="001730FB" w:rsidRPr="008E33DF">
        <w:rPr>
          <w:rFonts w:cs="Helvetica"/>
          <w:szCs w:val="20"/>
        </w:rPr>
        <w:t>'</w:t>
      </w:r>
      <w:r w:rsidR="0066531E" w:rsidRPr="008E33DF">
        <w:rPr>
          <w:rFonts w:cs="Helvetica"/>
          <w:szCs w:val="20"/>
        </w:rPr>
        <w:t>beperking in de beschikbaarheid van de woning</w:t>
      </w:r>
      <w:r w:rsidR="001730FB" w:rsidRPr="008E33DF">
        <w:rPr>
          <w:rFonts w:cs="Helvetica"/>
          <w:szCs w:val="20"/>
        </w:rPr>
        <w:t>'.</w:t>
      </w:r>
    </w:p>
    <w:p w:rsidR="000F075E" w:rsidRPr="008E33DF" w:rsidRDefault="000F075E" w:rsidP="003B3885">
      <w:pPr>
        <w:rPr>
          <w:rFonts w:cs="Helvetica"/>
          <w:szCs w:val="20"/>
        </w:rPr>
      </w:pPr>
    </w:p>
    <w:p w:rsidR="003B3885" w:rsidRPr="008E33DF" w:rsidRDefault="003B3885" w:rsidP="003B3885">
      <w:pPr>
        <w:rPr>
          <w:rFonts w:cs="Helvetica"/>
          <w:i/>
          <w:szCs w:val="20"/>
        </w:rPr>
      </w:pPr>
      <w:r w:rsidRPr="008E33DF">
        <w:rPr>
          <w:rFonts w:cs="Helvetica"/>
          <w:szCs w:val="20"/>
        </w:rPr>
        <w:t xml:space="preserve">Bij de categorie </w:t>
      </w:r>
      <w:r w:rsidRPr="008E33DF">
        <w:rPr>
          <w:rFonts w:cs="Helvetica"/>
          <w:b/>
          <w:szCs w:val="20"/>
        </w:rPr>
        <w:t>beperking in het gebruik van de woning</w:t>
      </w:r>
      <w:r w:rsidRPr="008E33DF">
        <w:rPr>
          <w:rFonts w:cs="Helvetica"/>
          <w:szCs w:val="20"/>
        </w:rPr>
        <w:t xml:space="preserve">, kijkt de rechter vooral naar de manier van bewoning. In </w:t>
      </w:r>
      <w:r w:rsidR="001730FB" w:rsidRPr="008E33DF">
        <w:rPr>
          <w:rFonts w:cs="Helvetica"/>
          <w:szCs w:val="20"/>
        </w:rPr>
        <w:t>vier</w:t>
      </w:r>
      <w:r w:rsidRPr="008E33DF">
        <w:rPr>
          <w:rFonts w:cs="Helvetica"/>
          <w:szCs w:val="20"/>
        </w:rPr>
        <w:t xml:space="preserve"> van de </w:t>
      </w:r>
      <w:r w:rsidR="001730FB" w:rsidRPr="008E33DF">
        <w:rPr>
          <w:rFonts w:cs="Helvetica"/>
          <w:szCs w:val="20"/>
        </w:rPr>
        <w:t xml:space="preserve">zes </w:t>
      </w:r>
      <w:r w:rsidR="006B47E2" w:rsidRPr="008E33DF">
        <w:rPr>
          <w:rFonts w:cs="Helvetica"/>
          <w:szCs w:val="20"/>
        </w:rPr>
        <w:t>uitspraken uit deze categorie</w:t>
      </w:r>
      <w:r w:rsidRPr="008E33DF">
        <w:rPr>
          <w:rFonts w:cs="Helvetica"/>
          <w:szCs w:val="20"/>
        </w:rPr>
        <w:t xml:space="preserve"> oordeelt de rechter dat de huurder de woning gebruikt als hoofdverblijf en</w:t>
      </w:r>
      <w:r w:rsidR="006B47E2" w:rsidRPr="008E33DF">
        <w:rPr>
          <w:rFonts w:cs="Helvetica"/>
          <w:szCs w:val="20"/>
        </w:rPr>
        <w:t xml:space="preserve"> dat het</w:t>
      </w:r>
      <w:r w:rsidRPr="008E33DF">
        <w:rPr>
          <w:rFonts w:cs="Helvetica"/>
          <w:szCs w:val="20"/>
        </w:rPr>
        <w:t xml:space="preserve"> op grond hiervan aannemelijk is dat de aard van het gebruik niet van korte duur is. In de uitspraak van Rb. Rotterdam van 28 december 2012 overweegt de rechter het volgende: </w:t>
      </w:r>
      <w:r w:rsidR="008E33DF">
        <w:rPr>
          <w:rFonts w:cs="Helvetica"/>
          <w:szCs w:val="20"/>
        </w:rPr>
        <w:t>"</w:t>
      </w:r>
      <w:r w:rsidR="000F075E" w:rsidRPr="008E33DF">
        <w:rPr>
          <w:rFonts w:cs="Helvetica"/>
          <w:i/>
          <w:szCs w:val="20"/>
        </w:rPr>
        <w:t>[gedaagde]</w:t>
      </w:r>
      <w:r w:rsidRPr="008E33DF">
        <w:rPr>
          <w:rFonts w:cs="Helvetica"/>
          <w:i/>
          <w:szCs w:val="20"/>
        </w:rPr>
        <w:t xml:space="preserve"> bewoont het gehuurde, gebruikt dat als zijn hoofdverblijf en staat naar mag worden aangenomen aldaar in de gemeentelijke basis administratie ingeschreven. In artikel 8.1 van de huurovereenkomst wordt het gehuurde als het woonadres van [gedaagde] aangemerkt ("being the true domicle of tenant"). Deze omstandigheden wijzen niet op een gebruik dat naar zijn aard van korte duur is.</w:t>
      </w:r>
      <w:r w:rsidR="008E33DF">
        <w:rPr>
          <w:rFonts w:cs="Helvetica"/>
          <w:i/>
          <w:szCs w:val="20"/>
        </w:rPr>
        <w:t>"</w:t>
      </w:r>
      <w:r w:rsidR="00446821" w:rsidRPr="008E33DF">
        <w:rPr>
          <w:rStyle w:val="Voetnootmarkering"/>
          <w:rFonts w:cs="Helvetica"/>
          <w:i/>
          <w:szCs w:val="20"/>
        </w:rPr>
        <w:footnoteReference w:id="35"/>
      </w:r>
    </w:p>
    <w:p w:rsidR="00F61685" w:rsidRPr="008E33DF" w:rsidRDefault="00F61685" w:rsidP="003B3885">
      <w:pPr>
        <w:rPr>
          <w:rFonts w:cs="Helvetica"/>
          <w:i/>
          <w:szCs w:val="20"/>
        </w:rPr>
      </w:pPr>
    </w:p>
    <w:p w:rsidR="00F61685" w:rsidRPr="008E33DF" w:rsidRDefault="003B3885" w:rsidP="0091323B">
      <w:pPr>
        <w:rPr>
          <w:rFonts w:cs="Helvetica"/>
          <w:szCs w:val="20"/>
        </w:rPr>
      </w:pPr>
      <w:r w:rsidRPr="008E33DF">
        <w:rPr>
          <w:rFonts w:cs="Helvetica"/>
          <w:szCs w:val="20"/>
        </w:rPr>
        <w:t xml:space="preserve">Bij de </w:t>
      </w:r>
      <w:r w:rsidRPr="008E33DF">
        <w:rPr>
          <w:rFonts w:cs="Helvetica"/>
          <w:b/>
          <w:szCs w:val="20"/>
        </w:rPr>
        <w:t>beperking van de beschikbaarheid van de woning</w:t>
      </w:r>
      <w:r w:rsidRPr="008E33DF">
        <w:rPr>
          <w:rFonts w:cs="Helvetica"/>
          <w:szCs w:val="20"/>
        </w:rPr>
        <w:t xml:space="preserve">, kijkt de rechter of de duur van het gebruik van de woonruimte niet beperkt wordt. Een langdurig ter beschikking staande tweede woning is </w:t>
      </w:r>
      <w:r w:rsidRPr="008E33DF">
        <w:rPr>
          <w:rFonts w:cs="Helvetica"/>
          <w:szCs w:val="20"/>
        </w:rPr>
        <w:lastRenderedPageBreak/>
        <w:t xml:space="preserve">bijvoorbeeld niet beperkt in de beschikbaarheid. In de uitspraak van Rb. Rotterdam van 14 maart 2014 heeft deze omstandigheid een doorslaggevende rol gespeeld </w:t>
      </w:r>
      <w:r w:rsidR="006B47E2" w:rsidRPr="008E33DF">
        <w:rPr>
          <w:rFonts w:cs="Helvetica"/>
          <w:szCs w:val="20"/>
        </w:rPr>
        <w:t>in</w:t>
      </w:r>
      <w:r w:rsidRPr="008E33DF">
        <w:rPr>
          <w:rFonts w:cs="Helvetica"/>
          <w:szCs w:val="20"/>
        </w:rPr>
        <w:t xml:space="preserve"> de beoordeling van de rechter. De langdurige beschikbaarheid van de woning geeft de rechter aanleiding om de huurovereenkomst te kwalifice</w:t>
      </w:r>
      <w:r w:rsidR="00C12065" w:rsidRPr="008E33DF">
        <w:rPr>
          <w:rFonts w:cs="Helvetica"/>
          <w:szCs w:val="20"/>
        </w:rPr>
        <w:t>ren als een huurovereenkomst die</w:t>
      </w:r>
      <w:r w:rsidRPr="008E33DF">
        <w:rPr>
          <w:rFonts w:cs="Helvetica"/>
          <w:szCs w:val="20"/>
        </w:rPr>
        <w:t xml:space="preserve"> niet naar zijn aard van korte duur is.</w:t>
      </w:r>
    </w:p>
    <w:p w:rsidR="00F61685" w:rsidRPr="008E33DF" w:rsidRDefault="00F61685" w:rsidP="0091323B">
      <w:pPr>
        <w:rPr>
          <w:rFonts w:cs="Helvetica"/>
          <w:szCs w:val="20"/>
        </w:rPr>
      </w:pPr>
    </w:p>
    <w:p w:rsidR="003B3885" w:rsidRPr="008E33DF" w:rsidRDefault="003B3885" w:rsidP="0091323B">
      <w:pPr>
        <w:rPr>
          <w:rFonts w:cs="Helvetica"/>
          <w:szCs w:val="20"/>
        </w:rPr>
      </w:pPr>
      <w:r w:rsidRPr="008E33DF">
        <w:rPr>
          <w:rFonts w:cs="Helvetica"/>
          <w:szCs w:val="20"/>
        </w:rPr>
        <w:t xml:space="preserve">In </w:t>
      </w:r>
      <w:r w:rsidR="006B47E2" w:rsidRPr="008E33DF">
        <w:rPr>
          <w:rFonts w:cs="Helvetica"/>
          <w:szCs w:val="20"/>
        </w:rPr>
        <w:t>drie</w:t>
      </w:r>
      <w:r w:rsidRPr="008E33DF">
        <w:rPr>
          <w:rFonts w:cs="Helvetica"/>
          <w:szCs w:val="20"/>
        </w:rPr>
        <w:t xml:space="preserve"> van de </w:t>
      </w:r>
      <w:r w:rsidR="006B47E2" w:rsidRPr="008E33DF">
        <w:rPr>
          <w:rFonts w:cs="Helvetica"/>
          <w:szCs w:val="20"/>
        </w:rPr>
        <w:t>zes</w:t>
      </w:r>
      <w:r w:rsidRPr="008E33DF">
        <w:rPr>
          <w:rFonts w:cs="Helvetica"/>
          <w:szCs w:val="20"/>
        </w:rPr>
        <w:t xml:space="preserve"> uitspraken maakt de rechter simpelweg een vergelijking met enkele voorbeelden</w:t>
      </w:r>
      <w:r w:rsidR="006B47E2" w:rsidRPr="008E33DF">
        <w:rPr>
          <w:rFonts w:cs="Helvetica"/>
          <w:szCs w:val="20"/>
        </w:rPr>
        <w:t>,</w:t>
      </w:r>
      <w:r w:rsidRPr="008E33DF">
        <w:rPr>
          <w:rFonts w:cs="Helvetica"/>
          <w:szCs w:val="20"/>
        </w:rPr>
        <w:t xml:space="preserve"> waarbij de beschikbaarheid duidelijk beperkt is. </w:t>
      </w:r>
      <w:r w:rsidR="006B47E2" w:rsidRPr="008E33DF">
        <w:rPr>
          <w:rFonts w:cs="Helvetica"/>
          <w:szCs w:val="20"/>
        </w:rPr>
        <w:t>Ee</w:t>
      </w:r>
      <w:r w:rsidRPr="008E33DF">
        <w:rPr>
          <w:rFonts w:cs="Helvetica"/>
          <w:szCs w:val="20"/>
        </w:rPr>
        <w:t>n van deze uitspraken is d</w:t>
      </w:r>
      <w:r w:rsidR="006B47E2" w:rsidRPr="008E33DF">
        <w:rPr>
          <w:rFonts w:cs="Helvetica"/>
          <w:szCs w:val="20"/>
        </w:rPr>
        <w:t>i</w:t>
      </w:r>
      <w:r w:rsidRPr="008E33DF">
        <w:rPr>
          <w:rFonts w:cs="Helvetica"/>
          <w:szCs w:val="20"/>
        </w:rPr>
        <w:t xml:space="preserve">e van Rb. Den Haag van 15 februari 2011. De rechter oordeelt als volgt: </w:t>
      </w:r>
      <w:r w:rsidR="008E33DF">
        <w:rPr>
          <w:rFonts w:cs="Helvetica"/>
          <w:i/>
          <w:szCs w:val="20"/>
        </w:rPr>
        <w:t>"</w:t>
      </w:r>
      <w:r w:rsidRPr="008E33DF">
        <w:rPr>
          <w:rFonts w:cs="Helvetica"/>
          <w:i/>
          <w:szCs w:val="20"/>
        </w:rPr>
        <w:t>Daarvan is bijvoorbeeld sprake in geval van noodoplossing ten behoeve van huurder, gebruik in afwachting van een op handen zijnde renovatie of verkoop alsmede verhuur met een beperkt en tijdelijk karakter. Dit is hier niet aan orde</w:t>
      </w:r>
      <w:r w:rsidR="008E33DF">
        <w:rPr>
          <w:rFonts w:cs="Helvetica"/>
          <w:i/>
          <w:szCs w:val="20"/>
        </w:rPr>
        <w:t>"</w:t>
      </w:r>
      <w:r w:rsidRPr="008E33DF">
        <w:rPr>
          <w:rStyle w:val="Voetnootmarkering"/>
          <w:rFonts w:cs="Helvetica"/>
          <w:i/>
          <w:szCs w:val="20"/>
        </w:rPr>
        <w:footnoteReference w:id="36"/>
      </w:r>
      <w:r w:rsidRPr="008E33DF">
        <w:rPr>
          <w:rFonts w:cs="Helvetica"/>
          <w:szCs w:val="20"/>
        </w:rPr>
        <w:t xml:space="preserve"> De rechter noemt hier ook</w:t>
      </w:r>
      <w:r w:rsidR="006B47E2" w:rsidRPr="008E33DF">
        <w:rPr>
          <w:rFonts w:cs="Helvetica"/>
          <w:szCs w:val="20"/>
        </w:rPr>
        <w:t xml:space="preserve"> een woning</w:t>
      </w:r>
      <w:r w:rsidRPr="008E33DF">
        <w:rPr>
          <w:rFonts w:cs="Helvetica"/>
          <w:szCs w:val="20"/>
        </w:rPr>
        <w:t xml:space="preserve"> als voorbeeld </w:t>
      </w:r>
      <w:r w:rsidR="00006AE8" w:rsidRPr="008E33DF">
        <w:rPr>
          <w:rFonts w:cs="Helvetica"/>
          <w:szCs w:val="20"/>
        </w:rPr>
        <w:t>die</w:t>
      </w:r>
      <w:r w:rsidRPr="008E33DF">
        <w:rPr>
          <w:rFonts w:cs="Helvetica"/>
          <w:szCs w:val="20"/>
        </w:rPr>
        <w:t xml:space="preserve"> in afwachting is v</w:t>
      </w:r>
      <w:r w:rsidR="006B47E2" w:rsidRPr="008E33DF">
        <w:rPr>
          <w:rFonts w:cs="Helvetica"/>
          <w:szCs w:val="20"/>
        </w:rPr>
        <w:t>an</w:t>
      </w:r>
      <w:r w:rsidRPr="008E33DF">
        <w:rPr>
          <w:rFonts w:cs="Helvetica"/>
          <w:szCs w:val="20"/>
        </w:rPr>
        <w:t xml:space="preserve"> verkoop. In de twee andere uitspraken wordt dit echter in de voorbeelden niet genoemd. Sterker nog, in die twee uitspraken gaat het om woningen die in afwachting zijn voor verkoop. De rechter is in deze zaken echter van mening dat</w:t>
      </w:r>
      <w:r w:rsidR="006B47E2" w:rsidRPr="008E33DF">
        <w:rPr>
          <w:rFonts w:cs="Helvetica"/>
          <w:szCs w:val="20"/>
        </w:rPr>
        <w:t xml:space="preserve"> een</w:t>
      </w:r>
      <w:r w:rsidRPr="008E33DF">
        <w:rPr>
          <w:rFonts w:cs="Helvetica"/>
          <w:szCs w:val="20"/>
        </w:rPr>
        <w:t xml:space="preserve"> in verkoop staande huur</w:t>
      </w:r>
      <w:r w:rsidR="00C12065" w:rsidRPr="008E33DF">
        <w:rPr>
          <w:rFonts w:cs="Helvetica"/>
          <w:szCs w:val="20"/>
        </w:rPr>
        <w:t>woning</w:t>
      </w:r>
      <w:r w:rsidR="00F61685" w:rsidRPr="008E33DF">
        <w:rPr>
          <w:rFonts w:cs="Helvetica"/>
          <w:szCs w:val="20"/>
        </w:rPr>
        <w:t xml:space="preserve"> </w:t>
      </w:r>
      <w:r w:rsidRPr="008E33DF">
        <w:rPr>
          <w:rFonts w:cs="Helvetica"/>
          <w:szCs w:val="20"/>
        </w:rPr>
        <w:t>niet beperkt</w:t>
      </w:r>
      <w:r w:rsidR="00C12065" w:rsidRPr="008E33DF">
        <w:rPr>
          <w:rFonts w:cs="Helvetica"/>
          <w:szCs w:val="20"/>
        </w:rPr>
        <w:t xml:space="preserve"> is</w:t>
      </w:r>
      <w:r w:rsidR="006B47E2" w:rsidRPr="008E33DF">
        <w:rPr>
          <w:rFonts w:cs="Helvetica"/>
          <w:szCs w:val="20"/>
        </w:rPr>
        <w:t xml:space="preserve"> in de beschikbaarheid</w:t>
      </w:r>
      <w:r w:rsidRPr="008E33DF">
        <w:rPr>
          <w:rFonts w:cs="Helvetica"/>
          <w:szCs w:val="20"/>
        </w:rPr>
        <w:t>. Koop breekt namelijk geen huur.</w:t>
      </w:r>
      <w:r w:rsidRPr="008E33DF">
        <w:rPr>
          <w:rStyle w:val="Voetnootmarkering"/>
          <w:rFonts w:cs="Helvetica"/>
          <w:szCs w:val="20"/>
        </w:rPr>
        <w:footnoteReference w:id="37"/>
      </w:r>
      <w:r w:rsidRPr="008E33DF">
        <w:rPr>
          <w:rFonts w:cs="Helvetica"/>
          <w:szCs w:val="20"/>
        </w:rPr>
        <w:t xml:space="preserve"> De lagere rechtspraak lijkt hierover verdeeld van mening.</w:t>
      </w:r>
    </w:p>
    <w:p w:rsidR="003B3885" w:rsidRPr="008E33DF" w:rsidRDefault="003B3885" w:rsidP="0091323B">
      <w:pPr>
        <w:rPr>
          <w:rFonts w:cs="Helvetica"/>
          <w:szCs w:val="20"/>
        </w:rPr>
      </w:pPr>
    </w:p>
    <w:p w:rsidR="000371A8" w:rsidRPr="008E33DF" w:rsidRDefault="00C12065" w:rsidP="0091323B">
      <w:pPr>
        <w:rPr>
          <w:rFonts w:cs="Helvetica"/>
          <w:szCs w:val="20"/>
        </w:rPr>
      </w:pPr>
      <w:r w:rsidRPr="008E33DF">
        <w:rPr>
          <w:rFonts w:cs="Helvetica"/>
          <w:szCs w:val="20"/>
        </w:rPr>
        <w:t>In enkele uitspraken berust de</w:t>
      </w:r>
      <w:r w:rsidR="0091323B" w:rsidRPr="008E33DF">
        <w:rPr>
          <w:rFonts w:cs="Helvetica"/>
          <w:szCs w:val="20"/>
        </w:rPr>
        <w:t xml:space="preserve"> rechter</w:t>
      </w:r>
      <w:r w:rsidRPr="008E33DF">
        <w:rPr>
          <w:rFonts w:cs="Helvetica"/>
          <w:szCs w:val="20"/>
        </w:rPr>
        <w:t xml:space="preserve"> bij</w:t>
      </w:r>
      <w:r w:rsidR="0091323B" w:rsidRPr="008E33DF">
        <w:rPr>
          <w:rFonts w:cs="Helvetica"/>
          <w:szCs w:val="20"/>
        </w:rPr>
        <w:t xml:space="preserve"> zijn beslissing</w:t>
      </w:r>
      <w:r w:rsidR="00F67E2F" w:rsidRPr="008E33DF">
        <w:rPr>
          <w:rFonts w:cs="Helvetica"/>
          <w:szCs w:val="20"/>
        </w:rPr>
        <w:t xml:space="preserve"> op </w:t>
      </w:r>
      <w:r w:rsidR="00AD1275" w:rsidRPr="008E33DF">
        <w:rPr>
          <w:rFonts w:cs="Helvetica"/>
          <w:szCs w:val="20"/>
        </w:rPr>
        <w:t xml:space="preserve">het </w:t>
      </w:r>
      <w:r w:rsidR="00F67E2F" w:rsidRPr="008E33DF">
        <w:rPr>
          <w:rFonts w:cs="Helvetica"/>
          <w:szCs w:val="20"/>
        </w:rPr>
        <w:t xml:space="preserve">feit dat er een </w:t>
      </w:r>
      <w:r w:rsidR="00F67E2F" w:rsidRPr="008E33DF">
        <w:rPr>
          <w:rFonts w:cs="Helvetica"/>
          <w:b/>
          <w:szCs w:val="20"/>
        </w:rPr>
        <w:t>andere regeling in de wet</w:t>
      </w:r>
      <w:r w:rsidR="00F67E2F" w:rsidRPr="008E33DF">
        <w:rPr>
          <w:rFonts w:cs="Helvetica"/>
          <w:szCs w:val="20"/>
        </w:rPr>
        <w:t xml:space="preserve"> bestaat</w:t>
      </w:r>
      <w:r w:rsidR="006B47E2" w:rsidRPr="008E33DF">
        <w:rPr>
          <w:rFonts w:cs="Helvetica"/>
          <w:szCs w:val="20"/>
        </w:rPr>
        <w:t>,</w:t>
      </w:r>
      <w:r w:rsidR="00F67E2F" w:rsidRPr="008E33DF">
        <w:rPr>
          <w:rFonts w:cs="Helvetica"/>
          <w:szCs w:val="20"/>
        </w:rPr>
        <w:t xml:space="preserve"> welke bedoeld i</w:t>
      </w:r>
      <w:r w:rsidR="00A705E7" w:rsidRPr="008E33DF">
        <w:rPr>
          <w:rFonts w:cs="Helvetica"/>
          <w:szCs w:val="20"/>
        </w:rPr>
        <w:t xml:space="preserve">s voor die specifieke situatie. Een duidelijk voorbeeld hiervan is de uitspraak van Rb. Amsterdam van 8 april 2014. In deze zaak wordt </w:t>
      </w:r>
      <w:r w:rsidR="002363BC" w:rsidRPr="008E33DF">
        <w:rPr>
          <w:rFonts w:cs="Helvetica"/>
          <w:szCs w:val="20"/>
        </w:rPr>
        <w:t>een kamer</w:t>
      </w:r>
      <w:r w:rsidR="000371A8" w:rsidRPr="008E33DF">
        <w:rPr>
          <w:rFonts w:cs="Helvetica"/>
          <w:szCs w:val="20"/>
        </w:rPr>
        <w:t xml:space="preserve"> verhuurd aan een student. In art. 7:274 lid 4 BW is een </w:t>
      </w:r>
      <w:r w:rsidRPr="008E33DF">
        <w:rPr>
          <w:rFonts w:cs="Helvetica"/>
          <w:szCs w:val="20"/>
        </w:rPr>
        <w:t>beëindigingsgrond</w:t>
      </w:r>
      <w:r w:rsidR="000371A8" w:rsidRPr="008E33DF">
        <w:rPr>
          <w:rFonts w:cs="Helvetica"/>
          <w:szCs w:val="20"/>
        </w:rPr>
        <w:t xml:space="preserve"> opgenomen</w:t>
      </w:r>
      <w:r w:rsidR="00CC1117" w:rsidRPr="008E33DF">
        <w:rPr>
          <w:rFonts w:cs="Helvetica"/>
          <w:szCs w:val="20"/>
        </w:rPr>
        <w:t>,</w:t>
      </w:r>
      <w:r w:rsidR="000371A8" w:rsidRPr="008E33DF">
        <w:rPr>
          <w:rFonts w:cs="Helvetica"/>
          <w:szCs w:val="20"/>
        </w:rPr>
        <w:t xml:space="preserve"> speciaal voor verhuur van woonruimte </w:t>
      </w:r>
      <w:r w:rsidR="00CC1117" w:rsidRPr="008E33DF">
        <w:rPr>
          <w:rFonts w:cs="Helvetica"/>
          <w:szCs w:val="20"/>
        </w:rPr>
        <w:t>aan</w:t>
      </w:r>
      <w:r w:rsidR="000371A8" w:rsidRPr="008E33DF">
        <w:rPr>
          <w:rFonts w:cs="Helvetica"/>
          <w:szCs w:val="20"/>
        </w:rPr>
        <w:t xml:space="preserve"> studenten. </w:t>
      </w:r>
      <w:r w:rsidR="008E33DF">
        <w:rPr>
          <w:rFonts w:cs="Helvetica"/>
          <w:szCs w:val="20"/>
        </w:rPr>
        <w:t>"</w:t>
      </w:r>
      <w:r w:rsidR="000371A8" w:rsidRPr="008E33DF">
        <w:rPr>
          <w:rFonts w:cs="Helvetica"/>
          <w:i/>
          <w:szCs w:val="20"/>
        </w:rPr>
        <w:t>Het feit dat deze mogelijkheid aan artikel 7:274 lid 4 BW is toegevoegd betekent al dat ervan uitgegaan moet w</w:t>
      </w:r>
      <w:r w:rsidR="00CC1117" w:rsidRPr="008E33DF">
        <w:rPr>
          <w:rFonts w:cs="Helvetica"/>
          <w:i/>
          <w:szCs w:val="20"/>
        </w:rPr>
        <w:t>orden dat bij de verhuur van deze</w:t>
      </w:r>
      <w:r w:rsidR="000371A8" w:rsidRPr="008E33DF">
        <w:rPr>
          <w:rFonts w:cs="Helvetica"/>
          <w:i/>
          <w:szCs w:val="20"/>
        </w:rPr>
        <w:t xml:space="preserve"> soort woonruimte aan studenten geen sprake is van een gebruik naar zijn aard van korte duu</w:t>
      </w:r>
      <w:r w:rsidR="008E33DF">
        <w:rPr>
          <w:rFonts w:cs="Helvetica"/>
          <w:i/>
          <w:szCs w:val="20"/>
        </w:rPr>
        <w:t>r"</w:t>
      </w:r>
      <w:r w:rsidR="000371A8" w:rsidRPr="008E33DF">
        <w:rPr>
          <w:rFonts w:cs="Helvetica"/>
          <w:i/>
          <w:szCs w:val="20"/>
        </w:rPr>
        <w:t xml:space="preserve">, </w:t>
      </w:r>
      <w:r w:rsidR="000371A8" w:rsidRPr="008E33DF">
        <w:rPr>
          <w:rFonts w:cs="Helvetica"/>
          <w:szCs w:val="20"/>
        </w:rPr>
        <w:t>aldus de rechter.</w:t>
      </w:r>
      <w:r w:rsidR="00044682" w:rsidRPr="008E33DF">
        <w:rPr>
          <w:rStyle w:val="Voetnootmarkering"/>
          <w:rFonts w:cs="Helvetica"/>
          <w:szCs w:val="20"/>
        </w:rPr>
        <w:footnoteReference w:id="38"/>
      </w:r>
      <w:r w:rsidR="000371A8" w:rsidRPr="008E33DF">
        <w:rPr>
          <w:rFonts w:cs="Helvetica"/>
          <w:szCs w:val="20"/>
        </w:rPr>
        <w:t xml:space="preserve"> In de overige 3 uitspraken uit deze categorie wordt een soortgelijke uitspraak gedaan</w:t>
      </w:r>
      <w:r w:rsidR="008E33DF">
        <w:rPr>
          <w:rFonts w:cs="Helvetica"/>
          <w:szCs w:val="20"/>
        </w:rPr>
        <w:t xml:space="preserve"> </w:t>
      </w:r>
      <w:r w:rsidR="000371A8" w:rsidRPr="008E33DF">
        <w:rPr>
          <w:rFonts w:cs="Helvetica"/>
          <w:szCs w:val="20"/>
        </w:rPr>
        <w:t xml:space="preserve">(zie bijlage </w:t>
      </w:r>
      <w:r w:rsidR="00F61685" w:rsidRPr="008E33DF">
        <w:rPr>
          <w:rFonts w:cs="Helvetica"/>
          <w:szCs w:val="20"/>
        </w:rPr>
        <w:t>5</w:t>
      </w:r>
      <w:r w:rsidR="000371A8" w:rsidRPr="008E33DF">
        <w:rPr>
          <w:rFonts w:cs="Helvetica"/>
          <w:szCs w:val="20"/>
        </w:rPr>
        <w:t>).</w:t>
      </w:r>
    </w:p>
    <w:p w:rsidR="0075345C" w:rsidRPr="008E33DF" w:rsidRDefault="0075345C" w:rsidP="0075345C">
      <w:pPr>
        <w:rPr>
          <w:rFonts w:cs="Helvetica"/>
          <w:szCs w:val="20"/>
        </w:rPr>
      </w:pPr>
    </w:p>
    <w:p w:rsidR="006E5201" w:rsidRPr="008E33DF" w:rsidRDefault="00044682" w:rsidP="0075345C">
      <w:pPr>
        <w:rPr>
          <w:rFonts w:cs="Helvetica"/>
          <w:szCs w:val="20"/>
        </w:rPr>
      </w:pPr>
      <w:r w:rsidRPr="008E33DF">
        <w:rPr>
          <w:rFonts w:cs="Helvetica"/>
          <w:szCs w:val="20"/>
        </w:rPr>
        <w:t>Twee uitspraken gaan</w:t>
      </w:r>
      <w:r w:rsidR="00FC6F3A" w:rsidRPr="008E33DF">
        <w:rPr>
          <w:rFonts w:cs="Helvetica"/>
          <w:szCs w:val="20"/>
        </w:rPr>
        <w:t xml:space="preserve"> over de </w:t>
      </w:r>
      <w:r w:rsidR="00FC6F3A" w:rsidRPr="008E33DF">
        <w:rPr>
          <w:rFonts w:cs="Helvetica"/>
          <w:b/>
          <w:szCs w:val="20"/>
        </w:rPr>
        <w:t>huurprijs</w:t>
      </w:r>
      <w:r w:rsidRPr="008E33DF">
        <w:rPr>
          <w:rFonts w:cs="Helvetica"/>
          <w:szCs w:val="20"/>
        </w:rPr>
        <w:t>. In ee</w:t>
      </w:r>
      <w:r w:rsidR="00FC6F3A" w:rsidRPr="008E33DF">
        <w:rPr>
          <w:rFonts w:cs="Helvetica"/>
          <w:szCs w:val="20"/>
        </w:rPr>
        <w:t>n van deze uitspraken zegt de rechter dat de overeengekomen lage huur op zichzelf onvoldoende is om te oordelen dat het gebruik van de woning naar zijn aard van korte duur is.</w:t>
      </w:r>
      <w:r w:rsidR="00FC6F3A" w:rsidRPr="008E33DF">
        <w:rPr>
          <w:rStyle w:val="Voetnootmarkering"/>
          <w:rFonts w:cs="Helvetica"/>
          <w:szCs w:val="20"/>
        </w:rPr>
        <w:footnoteReference w:id="39"/>
      </w:r>
      <w:r w:rsidR="00FC6F3A" w:rsidRPr="008E33DF">
        <w:rPr>
          <w:rFonts w:cs="Helvetica"/>
          <w:szCs w:val="20"/>
        </w:rPr>
        <w:t xml:space="preserve"> Het feit dat de rechter zegt dat het op zichzelf onv</w:t>
      </w:r>
      <w:r w:rsidR="006E5201" w:rsidRPr="008E33DF">
        <w:rPr>
          <w:rFonts w:cs="Helvetica"/>
          <w:szCs w:val="20"/>
        </w:rPr>
        <w:t xml:space="preserve">oldoende is, geeft aan dat </w:t>
      </w:r>
      <w:r w:rsidR="00F666C1" w:rsidRPr="008E33DF">
        <w:rPr>
          <w:rFonts w:cs="Helvetica"/>
          <w:szCs w:val="20"/>
        </w:rPr>
        <w:t>de</w:t>
      </w:r>
      <w:r w:rsidR="006E5201" w:rsidRPr="008E33DF">
        <w:rPr>
          <w:rFonts w:cs="Helvetica"/>
          <w:szCs w:val="20"/>
        </w:rPr>
        <w:t xml:space="preserve"> overeengekomen huur</w:t>
      </w:r>
      <w:r w:rsidR="00F666C1" w:rsidRPr="008E33DF">
        <w:rPr>
          <w:rFonts w:cs="Helvetica"/>
          <w:szCs w:val="20"/>
        </w:rPr>
        <w:t>prijs</w:t>
      </w:r>
      <w:r w:rsidR="00C12065" w:rsidRPr="008E33DF">
        <w:rPr>
          <w:rFonts w:cs="Helvetica"/>
          <w:szCs w:val="20"/>
        </w:rPr>
        <w:t xml:space="preserve"> mogelijk</w:t>
      </w:r>
      <w:r w:rsidRPr="008E33DF">
        <w:rPr>
          <w:rFonts w:cs="Helvetica"/>
          <w:szCs w:val="20"/>
        </w:rPr>
        <w:t xml:space="preserve"> wel</w:t>
      </w:r>
      <w:r w:rsidR="00C12065" w:rsidRPr="008E33DF">
        <w:rPr>
          <w:rFonts w:cs="Helvetica"/>
          <w:szCs w:val="20"/>
        </w:rPr>
        <w:t xml:space="preserve"> invloed kan hebben op</w:t>
      </w:r>
      <w:r w:rsidR="006E5201" w:rsidRPr="008E33DF">
        <w:rPr>
          <w:rFonts w:cs="Helvetica"/>
          <w:szCs w:val="20"/>
        </w:rPr>
        <w:t xml:space="preserve"> de beoordeling van de rechter.</w:t>
      </w:r>
      <w:r w:rsidR="00F666C1" w:rsidRPr="008E33DF">
        <w:rPr>
          <w:rFonts w:cs="Helvetica"/>
          <w:szCs w:val="20"/>
        </w:rPr>
        <w:t xml:space="preserve"> Deze constatering vindt steun in de uitspraak van Rechtbank Amsterdam van 24 januari 2014. In deze za</w:t>
      </w:r>
      <w:r w:rsidR="00C12065" w:rsidRPr="008E33DF">
        <w:rPr>
          <w:rFonts w:cs="Helvetica"/>
          <w:szCs w:val="20"/>
        </w:rPr>
        <w:t xml:space="preserve">ak hebben verhuurder en huurder </w:t>
      </w:r>
      <w:r w:rsidR="00F666C1" w:rsidRPr="008E33DF">
        <w:rPr>
          <w:rFonts w:cs="Helvetica"/>
          <w:szCs w:val="20"/>
        </w:rPr>
        <w:t>een huurprijs</w:t>
      </w:r>
      <w:r w:rsidRPr="008E33DF">
        <w:rPr>
          <w:rFonts w:cs="Helvetica"/>
          <w:szCs w:val="20"/>
        </w:rPr>
        <w:t xml:space="preserve"> afgesproken</w:t>
      </w:r>
      <w:r w:rsidR="00F666C1" w:rsidRPr="008E33DF">
        <w:rPr>
          <w:rFonts w:cs="Helvetica"/>
          <w:szCs w:val="20"/>
        </w:rPr>
        <w:t xml:space="preserve"> van </w:t>
      </w:r>
      <w:r w:rsidRPr="008E33DF">
        <w:rPr>
          <w:rFonts w:cs="Helvetica"/>
          <w:szCs w:val="20"/>
        </w:rPr>
        <w:t xml:space="preserve">€ </w:t>
      </w:r>
      <w:r w:rsidR="00F666C1" w:rsidRPr="008E33DF">
        <w:rPr>
          <w:rFonts w:cs="Helvetica"/>
          <w:szCs w:val="20"/>
        </w:rPr>
        <w:t>1400,- per maand</w:t>
      </w:r>
      <w:r w:rsidRPr="008E33DF">
        <w:rPr>
          <w:rFonts w:cs="Helvetica"/>
          <w:szCs w:val="20"/>
        </w:rPr>
        <w:t>, inclusief een</w:t>
      </w:r>
      <w:r w:rsidR="00F666C1" w:rsidRPr="008E33DF">
        <w:rPr>
          <w:rFonts w:cs="Helvetica"/>
          <w:szCs w:val="20"/>
        </w:rPr>
        <w:t xml:space="preserve"> voorschot op energiekosten. Daarbij is afgesproken dat huurder de woning zal verlaten indien d</w:t>
      </w:r>
      <w:r w:rsidR="00D30E53" w:rsidRPr="008E33DF">
        <w:rPr>
          <w:rFonts w:cs="Helvetica"/>
          <w:szCs w:val="20"/>
        </w:rPr>
        <w:t>e verhuurder een andere huurder vindt die de door hem verlangd</w:t>
      </w:r>
      <w:r w:rsidR="00C12065" w:rsidRPr="008E33DF">
        <w:rPr>
          <w:rFonts w:cs="Helvetica"/>
          <w:szCs w:val="20"/>
        </w:rPr>
        <w:t xml:space="preserve">e huurprijs van </w:t>
      </w:r>
      <w:r w:rsidRPr="008E33DF">
        <w:rPr>
          <w:rFonts w:cs="Helvetica"/>
          <w:szCs w:val="20"/>
        </w:rPr>
        <w:t xml:space="preserve">€ </w:t>
      </w:r>
      <w:r w:rsidR="00C12065" w:rsidRPr="008E33DF">
        <w:rPr>
          <w:rFonts w:cs="Helvetica"/>
          <w:szCs w:val="20"/>
        </w:rPr>
        <w:t>2000,- wil</w:t>
      </w:r>
      <w:r w:rsidR="00D30E53" w:rsidRPr="008E33DF">
        <w:rPr>
          <w:rFonts w:cs="Helvetica"/>
          <w:szCs w:val="20"/>
        </w:rPr>
        <w:t xml:space="preserve"> betalen. Hierbij is de rechter van oordeel </w:t>
      </w:r>
      <w:r w:rsidRPr="008E33DF">
        <w:rPr>
          <w:rFonts w:cs="Helvetica"/>
          <w:szCs w:val="20"/>
        </w:rPr>
        <w:t xml:space="preserve">dat </w:t>
      </w:r>
      <w:r w:rsidR="008E33DF">
        <w:rPr>
          <w:rFonts w:cs="Helvetica"/>
          <w:i/>
          <w:szCs w:val="20"/>
        </w:rPr>
        <w:t>"</w:t>
      </w:r>
      <w:r w:rsidR="00D30E53" w:rsidRPr="008E33DF">
        <w:rPr>
          <w:rFonts w:cs="Helvetica"/>
          <w:i/>
          <w:szCs w:val="20"/>
        </w:rPr>
        <w:t xml:space="preserve">het in gebruik geven van woonruimte tegen een op zichzelf substantiële maandelijkse huur in afwachting van een mogelijke huurder die bereid is de door </w:t>
      </w:r>
      <w:r w:rsidR="00D30E53" w:rsidRPr="008E33DF">
        <w:rPr>
          <w:rFonts w:cs="Helvetica"/>
          <w:i/>
          <w:szCs w:val="20"/>
        </w:rPr>
        <w:lastRenderedPageBreak/>
        <w:t>de verhuurder verlangde hogere huurprijs te betalen niet n</w:t>
      </w:r>
      <w:r w:rsidRPr="008E33DF">
        <w:rPr>
          <w:rFonts w:cs="Helvetica"/>
          <w:i/>
          <w:szCs w:val="20"/>
        </w:rPr>
        <w:t>aar zijn aard van korte duur is</w:t>
      </w:r>
      <w:r w:rsidR="008E33DF">
        <w:rPr>
          <w:rFonts w:cs="Helvetica"/>
          <w:i/>
          <w:szCs w:val="20"/>
        </w:rPr>
        <w:t>"</w:t>
      </w:r>
      <w:r w:rsidR="00D30E53" w:rsidRPr="008E33DF">
        <w:rPr>
          <w:rFonts w:cs="Helvetica"/>
          <w:i/>
          <w:szCs w:val="20"/>
        </w:rPr>
        <w:t>.</w:t>
      </w:r>
      <w:r w:rsidR="00D30E53" w:rsidRPr="008E33DF">
        <w:rPr>
          <w:rStyle w:val="Voetnootmarkering"/>
          <w:rFonts w:cs="Helvetica"/>
          <w:i/>
          <w:szCs w:val="20"/>
        </w:rPr>
        <w:footnoteReference w:id="40"/>
      </w:r>
      <w:r w:rsidR="00D30E53" w:rsidRPr="008E33DF">
        <w:rPr>
          <w:rFonts w:cs="Helvetica"/>
          <w:szCs w:val="20"/>
        </w:rPr>
        <w:t xml:space="preserve"> De hoge huurprijs speelt in deze uitspraak een belangrijke rol bij de beoordeling van de rechter.</w:t>
      </w:r>
    </w:p>
    <w:p w:rsidR="00E85C6F" w:rsidRPr="008E33DF" w:rsidRDefault="00E85C6F" w:rsidP="0075345C">
      <w:pPr>
        <w:rPr>
          <w:rFonts w:cs="Helvetica"/>
          <w:szCs w:val="20"/>
        </w:rPr>
      </w:pPr>
      <w:r w:rsidRPr="008E33DF">
        <w:rPr>
          <w:rFonts w:cs="Helvetica"/>
          <w:szCs w:val="20"/>
        </w:rPr>
        <w:t xml:space="preserve">Wie de werkelijke </w:t>
      </w:r>
      <w:r w:rsidRPr="008E33DF">
        <w:rPr>
          <w:rFonts w:cs="Helvetica"/>
          <w:b/>
          <w:szCs w:val="20"/>
        </w:rPr>
        <w:t>k</w:t>
      </w:r>
      <w:r w:rsidR="00C12065" w:rsidRPr="008E33DF">
        <w:rPr>
          <w:rFonts w:cs="Helvetica"/>
          <w:b/>
          <w:szCs w:val="20"/>
        </w:rPr>
        <w:t>osten</w:t>
      </w:r>
      <w:r w:rsidR="00C12065" w:rsidRPr="008E33DF">
        <w:rPr>
          <w:rFonts w:cs="Helvetica"/>
          <w:szCs w:val="20"/>
        </w:rPr>
        <w:t xml:space="preserve"> betaalt</w:t>
      </w:r>
      <w:r w:rsidR="00044682" w:rsidRPr="008E33DF">
        <w:rPr>
          <w:rFonts w:cs="Helvetica"/>
          <w:szCs w:val="20"/>
        </w:rPr>
        <w:t xml:space="preserve"> </w:t>
      </w:r>
      <w:r w:rsidRPr="008E33DF">
        <w:rPr>
          <w:rFonts w:cs="Helvetica"/>
          <w:b/>
          <w:szCs w:val="20"/>
        </w:rPr>
        <w:t>voor het gebruik van water, g</w:t>
      </w:r>
      <w:r w:rsidR="00C12065" w:rsidRPr="008E33DF">
        <w:rPr>
          <w:rFonts w:cs="Helvetica"/>
          <w:b/>
          <w:szCs w:val="20"/>
        </w:rPr>
        <w:t>as, elektriciteit</w:t>
      </w:r>
      <w:r w:rsidR="00C12065" w:rsidRPr="008E33DF">
        <w:rPr>
          <w:rFonts w:cs="Helvetica"/>
          <w:szCs w:val="20"/>
        </w:rPr>
        <w:t xml:space="preserve"> en dergelijke</w:t>
      </w:r>
      <w:r w:rsidRPr="008E33DF">
        <w:rPr>
          <w:rFonts w:cs="Helvetica"/>
          <w:szCs w:val="20"/>
        </w:rPr>
        <w:t xml:space="preserve"> kan voor de rechter </w:t>
      </w:r>
      <w:r w:rsidR="0075345C" w:rsidRPr="008E33DF">
        <w:rPr>
          <w:rFonts w:cs="Helvetica"/>
          <w:szCs w:val="20"/>
        </w:rPr>
        <w:t xml:space="preserve">ook </w:t>
      </w:r>
      <w:r w:rsidRPr="008E33DF">
        <w:rPr>
          <w:rFonts w:cs="Helvetica"/>
          <w:szCs w:val="20"/>
        </w:rPr>
        <w:t>van belan</w:t>
      </w:r>
      <w:r w:rsidR="00DB5807" w:rsidRPr="008E33DF">
        <w:rPr>
          <w:rFonts w:cs="Helvetica"/>
          <w:szCs w:val="20"/>
        </w:rPr>
        <w:t>g zijn bij zijn beoordeling. Indien deze kosten voor de rekening zijn van de huurder, kan de rechter hierop beoordelen dat het gebruik van de woning niet naar zijn aard van korte duur is.</w:t>
      </w:r>
      <w:r w:rsidR="00DB5807" w:rsidRPr="008E33DF">
        <w:rPr>
          <w:rStyle w:val="Voetnootmarkering"/>
          <w:rFonts w:cs="Helvetica"/>
          <w:szCs w:val="20"/>
        </w:rPr>
        <w:footnoteReference w:id="41"/>
      </w:r>
    </w:p>
    <w:p w:rsidR="0075345C" w:rsidRPr="008E33DF" w:rsidRDefault="0075345C" w:rsidP="0075345C">
      <w:pPr>
        <w:rPr>
          <w:rFonts w:cs="Helvetica"/>
          <w:szCs w:val="20"/>
        </w:rPr>
      </w:pPr>
    </w:p>
    <w:p w:rsidR="0075345C" w:rsidRPr="008E33DF" w:rsidRDefault="0075345C" w:rsidP="005E7558">
      <w:pPr>
        <w:pStyle w:val="Kop3"/>
      </w:pPr>
      <w:bookmarkStart w:id="46" w:name="_Toc454253674"/>
      <w:r w:rsidRPr="008E33DF">
        <w:t>5.3.2 Toegewezen uitspraken</w:t>
      </w:r>
      <w:bookmarkEnd w:id="46"/>
    </w:p>
    <w:p w:rsidR="00F61685" w:rsidRPr="008E33DF" w:rsidRDefault="00C25C96" w:rsidP="0075345C">
      <w:pPr>
        <w:spacing w:line="240" w:lineRule="auto"/>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color w:val="000000"/>
          <w:sz w:val="16"/>
          <w:szCs w:val="16"/>
          <w:lang w:eastAsia="nl-NL"/>
        </w:rPr>
        <w:t>Tabel 6, a</w:t>
      </w:r>
      <w:r w:rsidR="007B36E2" w:rsidRPr="008E33DF">
        <w:rPr>
          <w:rFonts w:ascii="Calibri" w:eastAsia="Times New Roman" w:hAnsi="Calibri" w:cs="Times New Roman"/>
          <w:b/>
          <w:bCs/>
          <w:color w:val="000000"/>
          <w:sz w:val="16"/>
          <w:szCs w:val="16"/>
          <w:lang w:eastAsia="nl-NL"/>
        </w:rPr>
        <w:t>ard van het gebruik</w:t>
      </w:r>
      <w:r w:rsidR="00F61685" w:rsidRPr="008E33DF">
        <w:rPr>
          <w:rFonts w:ascii="Calibri" w:eastAsia="Times New Roman" w:hAnsi="Calibri" w:cs="Times New Roman"/>
          <w:b/>
          <w:bCs/>
          <w:color w:val="000000"/>
          <w:sz w:val="16"/>
          <w:szCs w:val="16"/>
          <w:lang w:eastAsia="nl-NL"/>
        </w:rPr>
        <w:t>, feiten en omstandigheden,</w:t>
      </w:r>
    </w:p>
    <w:p w:rsidR="007B36E2" w:rsidRPr="008E33DF" w:rsidRDefault="007B36E2" w:rsidP="0075345C">
      <w:pPr>
        <w:spacing w:line="240" w:lineRule="auto"/>
        <w:rPr>
          <w:sz w:val="16"/>
          <w:szCs w:val="16"/>
        </w:rPr>
      </w:pPr>
      <w:r w:rsidRPr="008E33DF">
        <w:rPr>
          <w:rFonts w:ascii="Calibri" w:eastAsia="Times New Roman" w:hAnsi="Calibri" w:cs="Times New Roman"/>
          <w:b/>
          <w:bCs/>
          <w:color w:val="000000"/>
          <w:sz w:val="16"/>
          <w:szCs w:val="16"/>
          <w:lang w:eastAsia="nl-NL"/>
        </w:rPr>
        <w:t xml:space="preserve">beroep op art. 7:232 lid 2 </w:t>
      </w:r>
      <w:r w:rsidR="00F26BCD" w:rsidRPr="008E33DF">
        <w:rPr>
          <w:rFonts w:ascii="Calibri" w:eastAsia="Times New Roman" w:hAnsi="Calibri" w:cs="Times New Roman"/>
          <w:b/>
          <w:bCs/>
          <w:color w:val="000000"/>
          <w:sz w:val="16"/>
          <w:szCs w:val="16"/>
          <w:lang w:eastAsia="nl-NL"/>
        </w:rPr>
        <w:t xml:space="preserve">BW </w:t>
      </w:r>
      <w:r w:rsidRPr="008E33DF">
        <w:rPr>
          <w:rFonts w:ascii="Calibri" w:eastAsia="Times New Roman" w:hAnsi="Calibri" w:cs="Times New Roman"/>
          <w:b/>
          <w:bCs/>
          <w:color w:val="000000"/>
          <w:sz w:val="16"/>
          <w:szCs w:val="16"/>
          <w:lang w:eastAsia="nl-NL"/>
        </w:rPr>
        <w:t>word</w:t>
      </w:r>
      <w:r w:rsidR="00F61685" w:rsidRPr="008E33DF">
        <w:rPr>
          <w:rFonts w:ascii="Calibri" w:eastAsia="Times New Roman" w:hAnsi="Calibri" w:cs="Times New Roman"/>
          <w:b/>
          <w:bCs/>
          <w:color w:val="000000"/>
          <w:sz w:val="16"/>
          <w:szCs w:val="16"/>
          <w:lang w:eastAsia="nl-NL"/>
        </w:rPr>
        <w:t>t toegewezen (zie ook bijlage 6)</w:t>
      </w:r>
      <w:r w:rsidRPr="008E33DF">
        <w:rPr>
          <w:rFonts w:ascii="Calibri" w:eastAsia="Times New Roman" w:hAnsi="Calibri" w:cs="Times New Roman"/>
          <w:b/>
          <w:bCs/>
          <w:color w:val="000000"/>
          <w:sz w:val="16"/>
          <w:szCs w:val="16"/>
          <w:lang w:eastAsia="nl-NL"/>
        </w:rPr>
        <w:t>.</w:t>
      </w:r>
    </w:p>
    <w:tbl>
      <w:tblPr>
        <w:tblStyle w:val="Lichtraster2"/>
        <w:tblW w:w="0" w:type="auto"/>
        <w:tblInd w:w="108" w:type="dxa"/>
        <w:tblLayout w:type="fixed"/>
        <w:tblLook w:val="04A0"/>
      </w:tblPr>
      <w:tblGrid>
        <w:gridCol w:w="817"/>
        <w:gridCol w:w="142"/>
        <w:gridCol w:w="198"/>
        <w:gridCol w:w="340"/>
        <w:gridCol w:w="340"/>
        <w:gridCol w:w="340"/>
        <w:gridCol w:w="340"/>
        <w:gridCol w:w="340"/>
        <w:gridCol w:w="340"/>
        <w:gridCol w:w="340"/>
        <w:gridCol w:w="340"/>
        <w:gridCol w:w="659"/>
      </w:tblGrid>
      <w:tr w:rsidR="007B36E2" w:rsidRPr="008E33DF" w:rsidTr="0075345C">
        <w:trPr>
          <w:cnfStyle w:val="100000000000"/>
          <w:trHeight w:val="276"/>
        </w:trPr>
        <w:tc>
          <w:tcPr>
            <w:cnfStyle w:val="001000000000"/>
            <w:tcW w:w="4536" w:type="dxa"/>
            <w:gridSpan w:val="12"/>
          </w:tcPr>
          <w:p w:rsidR="007B36E2" w:rsidRPr="008E33DF" w:rsidRDefault="00F70F91" w:rsidP="0075345C">
            <w:pPr>
              <w:jc w:val="center"/>
              <w:rPr>
                <w:rFonts w:ascii="Calibri" w:eastAsia="Times New Roman" w:hAnsi="Calibri" w:cs="Times New Roman"/>
                <w:bCs w:val="0"/>
                <w:color w:val="000000"/>
                <w:szCs w:val="20"/>
                <w:lang w:eastAsia="nl-NL"/>
              </w:rPr>
            </w:pPr>
            <w:r w:rsidRPr="008E33DF">
              <w:rPr>
                <w:rFonts w:ascii="Calibri" w:eastAsia="Times New Roman" w:hAnsi="Calibri" w:cs="Times New Roman"/>
                <w:noProof/>
                <w:color w:val="000000"/>
                <w:szCs w:val="20"/>
                <w:lang w:eastAsia="nl-NL"/>
              </w:rPr>
              <w:drawing>
                <wp:anchor distT="0" distB="0" distL="114300" distR="114300" simplePos="0" relativeHeight="251686912" behindDoc="0" locked="0" layoutInCell="1" allowOverlap="1">
                  <wp:simplePos x="0" y="0"/>
                  <wp:positionH relativeFrom="column">
                    <wp:posOffset>2880360</wp:posOffset>
                  </wp:positionH>
                  <wp:positionV relativeFrom="paragraph">
                    <wp:posOffset>-14605</wp:posOffset>
                  </wp:positionV>
                  <wp:extent cx="3651250" cy="3649980"/>
                  <wp:effectExtent l="19050" t="0" r="25400" b="7620"/>
                  <wp:wrapNone/>
                  <wp:docPr id="13"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7B36E2" w:rsidRPr="008E33DF">
              <w:rPr>
                <w:rFonts w:ascii="Calibri" w:eastAsia="Times New Roman" w:hAnsi="Calibri" w:cs="Times New Roman"/>
                <w:bCs w:val="0"/>
                <w:color w:val="000000"/>
                <w:szCs w:val="20"/>
                <w:lang w:eastAsia="nl-NL"/>
              </w:rPr>
              <w:t>Categorieën</w:t>
            </w:r>
          </w:p>
        </w:tc>
      </w:tr>
      <w:tr w:rsidR="007B36E2" w:rsidRPr="008E33DF" w:rsidTr="0075345C">
        <w:trPr>
          <w:cnfStyle w:val="000000100000"/>
          <w:trHeight w:val="285"/>
        </w:trPr>
        <w:tc>
          <w:tcPr>
            <w:cnfStyle w:val="001000000000"/>
            <w:tcW w:w="817" w:type="dxa"/>
            <w:tcBorders>
              <w:bottom w:val="single" w:sz="18" w:space="0" w:color="000000" w:themeColor="text1"/>
            </w:tcBorders>
            <w:shd w:val="clear" w:color="auto" w:fill="auto"/>
            <w:vAlign w:val="bottom"/>
          </w:tcPr>
          <w:p w:rsidR="007B36E2" w:rsidRPr="008E33DF" w:rsidRDefault="007B36E2" w:rsidP="008D7AA7">
            <w:pPr>
              <w:spacing w:line="240" w:lineRule="auto"/>
              <w:jc w:val="center"/>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Nummers uitspraken</w:t>
            </w:r>
          </w:p>
        </w:tc>
        <w:tc>
          <w:tcPr>
            <w:tcW w:w="340" w:type="dxa"/>
            <w:gridSpan w:val="2"/>
            <w:tcBorders>
              <w:bottom w:val="single" w:sz="18" w:space="0" w:color="000000" w:themeColor="text1"/>
            </w:tcBorders>
            <w:shd w:val="clear" w:color="auto" w:fill="17365D" w:themeFill="text2" w:themeFillShade="BF"/>
            <w:vAlign w:val="center"/>
          </w:tcPr>
          <w:p w:rsidR="007B36E2" w:rsidRPr="008E33DF" w:rsidRDefault="007B36E2" w:rsidP="008D7AA7">
            <w:pPr>
              <w:spacing w:line="240" w:lineRule="auto"/>
              <w:jc w:val="center"/>
              <w:cnfStyle w:val="000000100000"/>
              <w:rPr>
                <w:rFonts w:asciiTheme="minorHAnsi" w:eastAsia="Times New Roman" w:hAnsiTheme="minorHAnsi" w:cs="Times New Roman"/>
                <w:color w:val="0F253F"/>
                <w:sz w:val="12"/>
                <w:szCs w:val="12"/>
                <w:lang w:eastAsia="nl-NL"/>
              </w:rPr>
            </w:pPr>
          </w:p>
        </w:tc>
        <w:tc>
          <w:tcPr>
            <w:tcW w:w="340" w:type="dxa"/>
            <w:tcBorders>
              <w:bottom w:val="single" w:sz="18" w:space="0" w:color="000000" w:themeColor="text1"/>
            </w:tcBorders>
            <w:shd w:val="clear" w:color="auto" w:fill="943634" w:themeFill="accent2" w:themeFillShade="BF"/>
            <w:vAlign w:val="center"/>
          </w:tcPr>
          <w:p w:rsidR="007B36E2" w:rsidRPr="008E33DF" w:rsidRDefault="007B36E2" w:rsidP="008D7AA7">
            <w:pPr>
              <w:spacing w:line="240" w:lineRule="auto"/>
              <w:jc w:val="center"/>
              <w:cnfStyle w:val="000000100000"/>
              <w:rPr>
                <w:rFonts w:asciiTheme="minorHAnsi" w:eastAsia="Times New Roman" w:hAnsiTheme="minorHAnsi" w:cs="Times New Roman"/>
                <w:color w:val="4F6228"/>
                <w:sz w:val="12"/>
                <w:szCs w:val="12"/>
                <w:lang w:eastAsia="nl-NL"/>
              </w:rPr>
            </w:pPr>
          </w:p>
        </w:tc>
        <w:tc>
          <w:tcPr>
            <w:tcW w:w="340" w:type="dxa"/>
            <w:tcBorders>
              <w:bottom w:val="single" w:sz="18" w:space="0" w:color="000000" w:themeColor="text1"/>
            </w:tcBorders>
            <w:shd w:val="clear" w:color="auto" w:fill="76923C" w:themeFill="accent3" w:themeFillShade="BF"/>
            <w:vAlign w:val="center"/>
          </w:tcPr>
          <w:p w:rsidR="007B36E2" w:rsidRPr="008E33DF" w:rsidRDefault="007B36E2" w:rsidP="008D7AA7">
            <w:pPr>
              <w:spacing w:line="240" w:lineRule="auto"/>
              <w:jc w:val="center"/>
              <w:cnfStyle w:val="000000100000"/>
              <w:rPr>
                <w:rFonts w:asciiTheme="minorHAnsi" w:eastAsia="Times New Roman" w:hAnsiTheme="minorHAnsi" w:cs="Times New Roman"/>
                <w:b/>
                <w:color w:val="E36C0A" w:themeColor="accent6" w:themeShade="BF"/>
                <w:sz w:val="12"/>
                <w:szCs w:val="12"/>
                <w:lang w:eastAsia="nl-NL"/>
              </w:rPr>
            </w:pPr>
          </w:p>
        </w:tc>
        <w:tc>
          <w:tcPr>
            <w:tcW w:w="340" w:type="dxa"/>
            <w:tcBorders>
              <w:bottom w:val="single" w:sz="18" w:space="0" w:color="000000" w:themeColor="text1"/>
            </w:tcBorders>
            <w:shd w:val="clear" w:color="auto" w:fill="5F497A" w:themeFill="accent4" w:themeFillShade="BF"/>
            <w:vAlign w:val="center"/>
          </w:tcPr>
          <w:p w:rsidR="007B36E2" w:rsidRPr="008E33DF" w:rsidRDefault="007B36E2" w:rsidP="008D7AA7">
            <w:pPr>
              <w:spacing w:line="240" w:lineRule="auto"/>
              <w:jc w:val="center"/>
              <w:cnfStyle w:val="000000100000"/>
              <w:rPr>
                <w:rFonts w:asciiTheme="minorHAnsi" w:eastAsia="Times New Roman" w:hAnsiTheme="minorHAnsi" w:cs="Times New Roman"/>
                <w:color w:val="FF0000"/>
                <w:sz w:val="12"/>
                <w:szCs w:val="12"/>
                <w:lang w:eastAsia="nl-NL"/>
              </w:rPr>
            </w:pPr>
          </w:p>
        </w:tc>
        <w:tc>
          <w:tcPr>
            <w:tcW w:w="340" w:type="dxa"/>
            <w:tcBorders>
              <w:bottom w:val="single" w:sz="18" w:space="0" w:color="000000" w:themeColor="text1"/>
            </w:tcBorders>
            <w:shd w:val="clear" w:color="auto" w:fill="31849B" w:themeFill="accent5" w:themeFillShade="BF"/>
            <w:vAlign w:val="center"/>
          </w:tcPr>
          <w:p w:rsidR="007B36E2" w:rsidRPr="008E33DF" w:rsidRDefault="007B36E2" w:rsidP="008D7AA7">
            <w:pPr>
              <w:spacing w:line="240" w:lineRule="auto"/>
              <w:jc w:val="center"/>
              <w:cnfStyle w:val="000000100000"/>
              <w:rPr>
                <w:rFonts w:asciiTheme="minorHAnsi" w:eastAsia="Times New Roman" w:hAnsiTheme="minorHAnsi" w:cs="Times New Roman"/>
                <w:color w:val="7030A0"/>
                <w:sz w:val="12"/>
                <w:szCs w:val="12"/>
                <w:lang w:eastAsia="nl-NL"/>
              </w:rPr>
            </w:pPr>
          </w:p>
        </w:tc>
        <w:tc>
          <w:tcPr>
            <w:tcW w:w="340" w:type="dxa"/>
            <w:tcBorders>
              <w:bottom w:val="single" w:sz="18" w:space="0" w:color="000000" w:themeColor="text1"/>
            </w:tcBorders>
            <w:shd w:val="clear" w:color="auto" w:fill="E36C0A" w:themeFill="accent6" w:themeFillShade="BF"/>
            <w:vAlign w:val="center"/>
          </w:tcPr>
          <w:p w:rsidR="007B36E2" w:rsidRPr="008E33DF" w:rsidRDefault="007B36E2" w:rsidP="008D7AA7">
            <w:pPr>
              <w:spacing w:line="240" w:lineRule="auto"/>
              <w:jc w:val="center"/>
              <w:cnfStyle w:val="000000100000"/>
              <w:rPr>
                <w:rFonts w:asciiTheme="minorHAnsi" w:eastAsia="Times New Roman" w:hAnsiTheme="minorHAnsi" w:cs="Times New Roman"/>
                <w:color w:val="7F7F7F"/>
                <w:sz w:val="12"/>
                <w:szCs w:val="12"/>
                <w:lang w:eastAsia="nl-NL"/>
              </w:rPr>
            </w:pPr>
          </w:p>
        </w:tc>
        <w:tc>
          <w:tcPr>
            <w:tcW w:w="340" w:type="dxa"/>
            <w:tcBorders>
              <w:bottom w:val="single" w:sz="18" w:space="0" w:color="000000" w:themeColor="text1"/>
            </w:tcBorders>
            <w:shd w:val="clear" w:color="auto" w:fill="4F81BD" w:themeFill="accent1"/>
          </w:tcPr>
          <w:p w:rsidR="007B36E2" w:rsidRPr="008E33DF" w:rsidRDefault="007B36E2" w:rsidP="008D7AA7">
            <w:pPr>
              <w:spacing w:line="240" w:lineRule="auto"/>
              <w:jc w:val="center"/>
              <w:cnfStyle w:val="000000100000"/>
              <w:rPr>
                <w:rFonts w:asciiTheme="minorHAnsi" w:hAnsiTheme="minorHAnsi"/>
                <w:color w:val="31849B" w:themeColor="accent5" w:themeShade="BF"/>
                <w:sz w:val="12"/>
                <w:szCs w:val="12"/>
              </w:rPr>
            </w:pPr>
          </w:p>
        </w:tc>
        <w:tc>
          <w:tcPr>
            <w:tcW w:w="340" w:type="dxa"/>
            <w:tcBorders>
              <w:bottom w:val="single" w:sz="18" w:space="0" w:color="000000" w:themeColor="text1"/>
            </w:tcBorders>
            <w:shd w:val="clear" w:color="auto" w:fill="FF0000"/>
          </w:tcPr>
          <w:p w:rsidR="007B36E2" w:rsidRPr="008E33DF" w:rsidRDefault="007B36E2" w:rsidP="008D7AA7">
            <w:pPr>
              <w:spacing w:line="240" w:lineRule="auto"/>
              <w:jc w:val="center"/>
              <w:cnfStyle w:val="000000100000"/>
              <w:rPr>
                <w:rFonts w:asciiTheme="minorHAnsi" w:hAnsiTheme="minorHAnsi"/>
                <w:color w:val="632423" w:themeColor="accent2" w:themeShade="80"/>
                <w:sz w:val="12"/>
                <w:szCs w:val="12"/>
              </w:rPr>
            </w:pPr>
          </w:p>
        </w:tc>
        <w:tc>
          <w:tcPr>
            <w:tcW w:w="340" w:type="dxa"/>
            <w:tcBorders>
              <w:bottom w:val="single" w:sz="18" w:space="0" w:color="000000" w:themeColor="text1"/>
            </w:tcBorders>
            <w:shd w:val="clear" w:color="auto" w:fill="808080" w:themeFill="background1" w:themeFillShade="80"/>
          </w:tcPr>
          <w:p w:rsidR="007B36E2" w:rsidRPr="008E33DF" w:rsidRDefault="007B36E2" w:rsidP="008D7AA7">
            <w:pPr>
              <w:spacing w:line="240" w:lineRule="auto"/>
              <w:jc w:val="center"/>
              <w:cnfStyle w:val="000000100000"/>
              <w:rPr>
                <w:rFonts w:asciiTheme="minorHAnsi" w:hAnsiTheme="minorHAnsi"/>
                <w:color w:val="92D050"/>
                <w:sz w:val="12"/>
                <w:szCs w:val="12"/>
              </w:rPr>
            </w:pPr>
          </w:p>
        </w:tc>
        <w:tc>
          <w:tcPr>
            <w:tcW w:w="659" w:type="dxa"/>
            <w:tcBorders>
              <w:bottom w:val="single" w:sz="18" w:space="0" w:color="000000" w:themeColor="text1"/>
            </w:tcBorders>
            <w:shd w:val="clear" w:color="auto" w:fill="auto"/>
            <w:vAlign w:val="bottom"/>
          </w:tcPr>
          <w:p w:rsidR="007B36E2" w:rsidRPr="008E33DF" w:rsidRDefault="007B36E2" w:rsidP="008D7AA7">
            <w:pPr>
              <w:spacing w:line="240" w:lineRule="auto"/>
              <w:jc w:val="center"/>
              <w:cnfStyle w:val="000000100000"/>
              <w:rPr>
                <w:rFonts w:asciiTheme="minorHAnsi" w:hAnsiTheme="minorHAnsi"/>
                <w:sz w:val="12"/>
                <w:szCs w:val="12"/>
              </w:rPr>
            </w:pPr>
          </w:p>
        </w:tc>
      </w:tr>
      <w:tr w:rsidR="007B36E2" w:rsidRPr="008E33DF" w:rsidTr="00093B96">
        <w:trPr>
          <w:cnfStyle w:val="000000010000"/>
        </w:trPr>
        <w:tc>
          <w:tcPr>
            <w:cnfStyle w:val="001000000000"/>
            <w:tcW w:w="817" w:type="dxa"/>
            <w:tcBorders>
              <w:top w:val="single" w:sz="18" w:space="0" w:color="000000" w:themeColor="text1"/>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3</w:t>
            </w:r>
          </w:p>
        </w:tc>
        <w:tc>
          <w:tcPr>
            <w:tcW w:w="340" w:type="dxa"/>
            <w:gridSpan w:val="2"/>
            <w:tcBorders>
              <w:top w:val="single" w:sz="18" w:space="0" w:color="000000" w:themeColor="text1"/>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single" w:sz="18" w:space="0" w:color="000000" w:themeColor="text1"/>
              <w:left w:val="dotted" w:sz="4" w:space="0" w:color="auto"/>
              <w:bottom w:val="dotted" w:sz="4" w:space="0" w:color="auto"/>
              <w:right w:val="single" w:sz="18" w:space="0" w:color="000000" w:themeColor="text1"/>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59" w:type="dxa"/>
            <w:tcBorders>
              <w:top w:val="single" w:sz="18" w:space="0" w:color="000000" w:themeColor="text1"/>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093B96">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4</w:t>
            </w:r>
          </w:p>
        </w:tc>
        <w:tc>
          <w:tcPr>
            <w:tcW w:w="340" w:type="dxa"/>
            <w:gridSpan w:val="2"/>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093B96">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5</w:t>
            </w:r>
          </w:p>
        </w:tc>
        <w:tc>
          <w:tcPr>
            <w:tcW w:w="340" w:type="dxa"/>
            <w:gridSpan w:val="2"/>
            <w:tcBorders>
              <w:top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single" w:sz="18" w:space="0" w:color="000000" w:themeColor="text1"/>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093B96">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7</w:t>
            </w:r>
          </w:p>
        </w:tc>
        <w:tc>
          <w:tcPr>
            <w:tcW w:w="340" w:type="dxa"/>
            <w:gridSpan w:val="2"/>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093B96">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8</w:t>
            </w:r>
          </w:p>
        </w:tc>
        <w:tc>
          <w:tcPr>
            <w:tcW w:w="340" w:type="dxa"/>
            <w:gridSpan w:val="2"/>
            <w:tcBorders>
              <w:top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093B96">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9</w:t>
            </w:r>
          </w:p>
        </w:tc>
        <w:tc>
          <w:tcPr>
            <w:tcW w:w="340" w:type="dxa"/>
            <w:gridSpan w:val="2"/>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093B96">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10</w:t>
            </w:r>
          </w:p>
        </w:tc>
        <w:tc>
          <w:tcPr>
            <w:tcW w:w="340" w:type="dxa"/>
            <w:gridSpan w:val="2"/>
            <w:tcBorders>
              <w:top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659"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093B96">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12</w:t>
            </w:r>
          </w:p>
        </w:tc>
        <w:tc>
          <w:tcPr>
            <w:tcW w:w="340" w:type="dxa"/>
            <w:gridSpan w:val="2"/>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093B96">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16</w:t>
            </w:r>
          </w:p>
        </w:tc>
        <w:tc>
          <w:tcPr>
            <w:tcW w:w="340" w:type="dxa"/>
            <w:gridSpan w:val="2"/>
            <w:tcBorders>
              <w:top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659"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093B96">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21</w:t>
            </w:r>
          </w:p>
        </w:tc>
        <w:tc>
          <w:tcPr>
            <w:tcW w:w="340" w:type="dxa"/>
            <w:gridSpan w:val="2"/>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093B96">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25</w:t>
            </w:r>
          </w:p>
        </w:tc>
        <w:tc>
          <w:tcPr>
            <w:tcW w:w="340" w:type="dxa"/>
            <w:gridSpan w:val="2"/>
            <w:tcBorders>
              <w:top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093B96">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28</w:t>
            </w:r>
          </w:p>
        </w:tc>
        <w:tc>
          <w:tcPr>
            <w:tcW w:w="340" w:type="dxa"/>
            <w:gridSpan w:val="2"/>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659"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093B96">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29</w:t>
            </w:r>
          </w:p>
        </w:tc>
        <w:tc>
          <w:tcPr>
            <w:tcW w:w="340" w:type="dxa"/>
            <w:gridSpan w:val="2"/>
            <w:tcBorders>
              <w:top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093B96">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31</w:t>
            </w:r>
          </w:p>
        </w:tc>
        <w:tc>
          <w:tcPr>
            <w:tcW w:w="340" w:type="dxa"/>
            <w:gridSpan w:val="2"/>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093B96">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33</w:t>
            </w:r>
          </w:p>
        </w:tc>
        <w:tc>
          <w:tcPr>
            <w:tcW w:w="340" w:type="dxa"/>
            <w:gridSpan w:val="2"/>
            <w:tcBorders>
              <w:top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093B96">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36</w:t>
            </w:r>
          </w:p>
        </w:tc>
        <w:tc>
          <w:tcPr>
            <w:tcW w:w="340" w:type="dxa"/>
            <w:gridSpan w:val="2"/>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093B96">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37</w:t>
            </w:r>
          </w:p>
        </w:tc>
        <w:tc>
          <w:tcPr>
            <w:tcW w:w="340" w:type="dxa"/>
            <w:gridSpan w:val="2"/>
            <w:tcBorders>
              <w:top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single" w:sz="18" w:space="0" w:color="000000" w:themeColor="text1"/>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093B96">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38</w:t>
            </w:r>
          </w:p>
        </w:tc>
        <w:tc>
          <w:tcPr>
            <w:tcW w:w="340" w:type="dxa"/>
            <w:gridSpan w:val="2"/>
            <w:tcBorders>
              <w:top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sz w:val="12"/>
                <w:szCs w:val="12"/>
              </w:rPr>
            </w:pPr>
          </w:p>
        </w:tc>
        <w:tc>
          <w:tcPr>
            <w:tcW w:w="659"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p>
        </w:tc>
      </w:tr>
      <w:tr w:rsidR="007B36E2" w:rsidRPr="008E33DF" w:rsidTr="00093B96">
        <w:trPr>
          <w:cnfStyle w:val="000000010000"/>
        </w:trPr>
        <w:tc>
          <w:tcPr>
            <w:cnfStyle w:val="001000000000"/>
            <w:tcW w:w="817" w:type="dxa"/>
            <w:tcBorders>
              <w:top w:val="dotted" w:sz="4" w:space="0" w:color="auto"/>
              <w:bottom w:val="single" w:sz="18" w:space="0" w:color="000000" w:themeColor="text1"/>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40</w:t>
            </w:r>
          </w:p>
        </w:tc>
        <w:tc>
          <w:tcPr>
            <w:tcW w:w="340" w:type="dxa"/>
            <w:gridSpan w:val="2"/>
            <w:tcBorders>
              <w:top w:val="dotted" w:sz="4" w:space="0" w:color="auto"/>
              <w:bottom w:val="single" w:sz="18" w:space="0" w:color="000000" w:themeColor="text1"/>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single" w:sz="18" w:space="0" w:color="000000" w:themeColor="text1"/>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single" w:sz="18" w:space="0" w:color="000000" w:themeColor="text1"/>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single" w:sz="18" w:space="0" w:color="000000" w:themeColor="text1"/>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single" w:sz="18" w:space="0" w:color="000000" w:themeColor="text1"/>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single" w:sz="18" w:space="0" w:color="000000" w:themeColor="text1"/>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single" w:sz="18" w:space="0" w:color="000000" w:themeColor="text1"/>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single" w:sz="18" w:space="0" w:color="000000" w:themeColor="text1"/>
              <w:right w:val="dotted" w:sz="4" w:space="0" w:color="auto"/>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single" w:sz="18" w:space="0" w:color="000000" w:themeColor="text1"/>
              <w:right w:val="single" w:sz="18" w:space="0" w:color="000000" w:themeColor="text1"/>
            </w:tcBorders>
            <w:shd w:val="clear" w:color="auto" w:fill="auto"/>
            <w:vAlign w:val="center"/>
          </w:tcPr>
          <w:p w:rsidR="007B36E2" w:rsidRPr="008E33DF" w:rsidRDefault="007B36E2" w:rsidP="008D7AA7">
            <w:pPr>
              <w:spacing w:line="240" w:lineRule="auto"/>
              <w:jc w:val="center"/>
              <w:cnfStyle w:val="000000010000"/>
              <w:rPr>
                <w:rFonts w:asciiTheme="minorHAnsi" w:hAnsiTheme="minorHAnsi"/>
                <w:sz w:val="12"/>
                <w:szCs w:val="12"/>
              </w:rPr>
            </w:pPr>
          </w:p>
        </w:tc>
        <w:tc>
          <w:tcPr>
            <w:tcW w:w="659" w:type="dxa"/>
            <w:tcBorders>
              <w:top w:val="dotted" w:sz="4" w:space="0" w:color="auto"/>
              <w:left w:val="single" w:sz="18" w:space="0" w:color="000000" w:themeColor="text1"/>
              <w:bottom w:val="single" w:sz="18" w:space="0" w:color="000000" w:themeColor="text1"/>
              <w:right w:val="single" w:sz="18" w:space="0" w:color="000000" w:themeColor="text1"/>
            </w:tcBorders>
            <w:vAlign w:val="center"/>
          </w:tcPr>
          <w:p w:rsidR="007B36E2" w:rsidRPr="008E33DF" w:rsidRDefault="007B36E2" w:rsidP="008D7AA7">
            <w:pPr>
              <w:spacing w:line="240" w:lineRule="auto"/>
              <w:jc w:val="center"/>
              <w:cnfStyle w:val="000000010000"/>
              <w:rPr>
                <w:rFonts w:asciiTheme="minorHAnsi" w:hAnsiTheme="minorHAnsi"/>
                <w:b/>
                <w:sz w:val="12"/>
                <w:szCs w:val="12"/>
              </w:rPr>
            </w:pPr>
          </w:p>
        </w:tc>
      </w:tr>
      <w:tr w:rsidR="007B36E2" w:rsidRPr="008E33DF" w:rsidTr="00093B96">
        <w:trPr>
          <w:cnfStyle w:val="000000100000"/>
        </w:trPr>
        <w:tc>
          <w:tcPr>
            <w:cnfStyle w:val="001000000000"/>
            <w:tcW w:w="817" w:type="dxa"/>
            <w:tcBorders>
              <w:top w:val="single" w:sz="18" w:space="0" w:color="000000" w:themeColor="text1"/>
              <w:left w:val="single" w:sz="18" w:space="0" w:color="000000" w:themeColor="text1"/>
              <w:bottom w:val="single" w:sz="18" w:space="0" w:color="000000" w:themeColor="text1"/>
              <w:right w:val="dotted" w:sz="4" w:space="0" w:color="auto"/>
            </w:tcBorders>
            <w:vAlign w:val="center"/>
          </w:tcPr>
          <w:p w:rsidR="007B36E2" w:rsidRPr="008E33DF" w:rsidRDefault="007B36E2" w:rsidP="008D7AA7">
            <w:pPr>
              <w:spacing w:line="240" w:lineRule="auto"/>
              <w:jc w:val="center"/>
              <w:rPr>
                <w:rFonts w:asciiTheme="minorHAnsi" w:hAnsiTheme="minorHAnsi"/>
                <w:sz w:val="12"/>
                <w:szCs w:val="12"/>
              </w:rPr>
            </w:pPr>
            <w:r w:rsidRPr="008E33DF">
              <w:rPr>
                <w:rFonts w:asciiTheme="minorHAnsi" w:hAnsiTheme="minorHAnsi"/>
                <w:sz w:val="12"/>
                <w:szCs w:val="12"/>
              </w:rPr>
              <w:t>19</w:t>
            </w:r>
          </w:p>
        </w:tc>
        <w:tc>
          <w:tcPr>
            <w:tcW w:w="340" w:type="dxa"/>
            <w:gridSpan w:val="2"/>
            <w:tcBorders>
              <w:top w:val="single" w:sz="18" w:space="0" w:color="000000" w:themeColor="text1"/>
              <w:bottom w:val="single" w:sz="18" w:space="0" w:color="000000" w:themeColor="text1"/>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14</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3</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4</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2</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2</w:t>
            </w:r>
          </w:p>
        </w:tc>
        <w:tc>
          <w:tcPr>
            <w:tcW w:w="340" w:type="dxa"/>
            <w:tcBorders>
              <w:top w:val="single" w:sz="18" w:space="0" w:color="000000" w:themeColor="text1"/>
              <w:left w:val="dotted" w:sz="4" w:space="0" w:color="auto"/>
              <w:bottom w:val="single" w:sz="18" w:space="0" w:color="000000" w:themeColor="text1"/>
              <w:right w:val="single" w:sz="18" w:space="0" w:color="000000" w:themeColor="text1"/>
            </w:tcBorders>
            <w:shd w:val="clear" w:color="auto" w:fill="BFBFBF" w:themeFill="background1" w:themeFillShade="BF"/>
            <w:vAlign w:val="center"/>
          </w:tcPr>
          <w:p w:rsidR="007B36E2" w:rsidRPr="008E33DF" w:rsidRDefault="007B36E2"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3</w:t>
            </w:r>
          </w:p>
        </w:tc>
        <w:tc>
          <w:tcPr>
            <w:tcW w:w="659" w:type="dxa"/>
            <w:tcBorders>
              <w:top w:val="single" w:sz="18" w:space="0" w:color="000000" w:themeColor="text1"/>
              <w:left w:val="single" w:sz="18" w:space="0" w:color="000000" w:themeColor="text1"/>
              <w:bottom w:val="single" w:sz="18" w:space="0" w:color="000000" w:themeColor="text1"/>
              <w:right w:val="single" w:sz="12" w:space="0" w:color="000000" w:themeColor="text1"/>
            </w:tcBorders>
            <w:vAlign w:val="center"/>
          </w:tcPr>
          <w:p w:rsidR="007B36E2" w:rsidRPr="008E33DF" w:rsidRDefault="007B36E2"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Totaal</w:t>
            </w:r>
          </w:p>
        </w:tc>
      </w:tr>
      <w:tr w:rsidR="007B36E2" w:rsidRPr="008E33DF" w:rsidTr="00093B96">
        <w:trPr>
          <w:cnfStyle w:val="000000010000"/>
        </w:trPr>
        <w:tc>
          <w:tcPr>
            <w:cnfStyle w:val="001000000000"/>
            <w:tcW w:w="959" w:type="dxa"/>
            <w:gridSpan w:val="2"/>
            <w:tcBorders>
              <w:top w:val="single" w:sz="18" w:space="0" w:color="000000" w:themeColor="text1"/>
              <w:left w:val="single" w:sz="18" w:space="0" w:color="000000" w:themeColor="text1"/>
              <w:right w:val="dotted" w:sz="4" w:space="0" w:color="auto"/>
            </w:tcBorders>
            <w:shd w:val="clear" w:color="auto" w:fill="17365D" w:themeFill="text2" w:themeFillShade="BF"/>
            <w:vAlign w:val="center"/>
          </w:tcPr>
          <w:p w:rsidR="007B36E2" w:rsidRPr="008E33DF" w:rsidRDefault="007B36E2" w:rsidP="008D7AA7">
            <w:pPr>
              <w:spacing w:line="240" w:lineRule="auto"/>
              <w:jc w:val="center"/>
              <w:rPr>
                <w:rFonts w:asciiTheme="minorHAnsi" w:hAnsiTheme="minorHAnsi"/>
                <w:sz w:val="12"/>
                <w:szCs w:val="12"/>
              </w:rPr>
            </w:pPr>
          </w:p>
        </w:tc>
        <w:tc>
          <w:tcPr>
            <w:tcW w:w="3577" w:type="dxa"/>
            <w:gridSpan w:val="10"/>
            <w:tcBorders>
              <w:top w:val="single" w:sz="18" w:space="0" w:color="000000" w:themeColor="text1"/>
              <w:right w:val="single" w:sz="12" w:space="0" w:color="000000" w:themeColor="text1"/>
            </w:tcBorders>
            <w:shd w:val="clear" w:color="auto" w:fill="auto"/>
            <w:vAlign w:val="bottom"/>
          </w:tcPr>
          <w:p w:rsidR="007B36E2" w:rsidRPr="008E33DF" w:rsidRDefault="007B36E2" w:rsidP="008D7AA7">
            <w:pPr>
              <w:spacing w:line="240" w:lineRule="auto"/>
              <w:cnfStyle w:val="000000010000"/>
              <w:rPr>
                <w:rFonts w:asciiTheme="minorHAnsi" w:hAnsiTheme="minorHAnsi"/>
                <w:b/>
                <w:sz w:val="12"/>
                <w:szCs w:val="12"/>
              </w:rPr>
            </w:pPr>
            <w:r w:rsidRPr="008E33DF">
              <w:rPr>
                <w:rFonts w:asciiTheme="minorHAnsi" w:hAnsiTheme="minorHAnsi"/>
                <w:b/>
                <w:sz w:val="12"/>
                <w:szCs w:val="12"/>
              </w:rPr>
              <w:t>Aanwe</w:t>
            </w:r>
            <w:r w:rsidR="008877D9" w:rsidRPr="008E33DF">
              <w:rPr>
                <w:rFonts w:asciiTheme="minorHAnsi" w:hAnsiTheme="minorHAnsi"/>
                <w:b/>
                <w:sz w:val="12"/>
                <w:szCs w:val="12"/>
              </w:rPr>
              <w:t>zigheid van de mogelijkheid van</w:t>
            </w:r>
            <w:r w:rsidRPr="008E33DF">
              <w:rPr>
                <w:rFonts w:asciiTheme="minorHAnsi" w:hAnsiTheme="minorHAnsi"/>
                <w:b/>
                <w:sz w:val="12"/>
                <w:szCs w:val="12"/>
              </w:rPr>
              <w:t xml:space="preserve"> beroep op een andere regeling in de wet</w:t>
            </w:r>
          </w:p>
        </w:tc>
      </w:tr>
      <w:tr w:rsidR="007B36E2" w:rsidRPr="008E33DF" w:rsidTr="00093B96">
        <w:trPr>
          <w:cnfStyle w:val="000000100000"/>
        </w:trPr>
        <w:tc>
          <w:tcPr>
            <w:cnfStyle w:val="001000000000"/>
            <w:tcW w:w="959" w:type="dxa"/>
            <w:gridSpan w:val="2"/>
            <w:tcBorders>
              <w:right w:val="dotted" w:sz="4" w:space="0" w:color="auto"/>
            </w:tcBorders>
            <w:shd w:val="clear" w:color="auto" w:fill="943634" w:themeFill="accent2" w:themeFillShade="BF"/>
            <w:vAlign w:val="center"/>
          </w:tcPr>
          <w:p w:rsidR="007B36E2" w:rsidRPr="008E33DF" w:rsidRDefault="007B36E2" w:rsidP="008D7AA7">
            <w:pPr>
              <w:spacing w:line="240" w:lineRule="auto"/>
              <w:jc w:val="center"/>
              <w:rPr>
                <w:rFonts w:asciiTheme="minorHAnsi" w:hAnsiTheme="minorHAnsi"/>
                <w:sz w:val="12"/>
                <w:szCs w:val="12"/>
              </w:rPr>
            </w:pPr>
          </w:p>
        </w:tc>
        <w:tc>
          <w:tcPr>
            <w:tcW w:w="3577" w:type="dxa"/>
            <w:gridSpan w:val="10"/>
            <w:shd w:val="clear" w:color="auto" w:fill="auto"/>
            <w:vAlign w:val="bottom"/>
          </w:tcPr>
          <w:p w:rsidR="007B36E2" w:rsidRPr="008E33DF" w:rsidRDefault="007B36E2" w:rsidP="008D7AA7">
            <w:pPr>
              <w:spacing w:line="240" w:lineRule="auto"/>
              <w:cnfStyle w:val="000000100000"/>
              <w:rPr>
                <w:rFonts w:asciiTheme="minorHAnsi" w:hAnsiTheme="minorHAnsi"/>
                <w:b/>
                <w:sz w:val="12"/>
                <w:szCs w:val="12"/>
              </w:rPr>
            </w:pPr>
            <w:r w:rsidRPr="008E33DF">
              <w:rPr>
                <w:rFonts w:asciiTheme="minorHAnsi" w:hAnsiTheme="minorHAnsi"/>
                <w:b/>
                <w:sz w:val="12"/>
                <w:szCs w:val="12"/>
              </w:rPr>
              <w:t>Beperking in gebruik van de woning</w:t>
            </w:r>
          </w:p>
        </w:tc>
      </w:tr>
      <w:tr w:rsidR="007B36E2" w:rsidRPr="008E33DF" w:rsidTr="00093B96">
        <w:trPr>
          <w:cnfStyle w:val="000000010000"/>
        </w:trPr>
        <w:tc>
          <w:tcPr>
            <w:cnfStyle w:val="001000000000"/>
            <w:tcW w:w="959" w:type="dxa"/>
            <w:gridSpan w:val="2"/>
            <w:tcBorders>
              <w:right w:val="dotted" w:sz="4" w:space="0" w:color="auto"/>
            </w:tcBorders>
            <w:shd w:val="clear" w:color="auto" w:fill="76923C" w:themeFill="accent3" w:themeFillShade="BF"/>
            <w:vAlign w:val="center"/>
          </w:tcPr>
          <w:p w:rsidR="007B36E2" w:rsidRPr="008E33DF" w:rsidRDefault="007B36E2" w:rsidP="008D7AA7">
            <w:pPr>
              <w:spacing w:line="240" w:lineRule="auto"/>
              <w:jc w:val="center"/>
              <w:rPr>
                <w:rFonts w:asciiTheme="minorHAnsi" w:hAnsiTheme="minorHAnsi"/>
                <w:sz w:val="12"/>
                <w:szCs w:val="12"/>
              </w:rPr>
            </w:pPr>
          </w:p>
        </w:tc>
        <w:tc>
          <w:tcPr>
            <w:tcW w:w="3577" w:type="dxa"/>
            <w:gridSpan w:val="10"/>
            <w:shd w:val="clear" w:color="auto" w:fill="auto"/>
            <w:vAlign w:val="bottom"/>
          </w:tcPr>
          <w:p w:rsidR="007B36E2" w:rsidRPr="008E33DF" w:rsidRDefault="007B36E2" w:rsidP="008D7AA7">
            <w:pPr>
              <w:spacing w:line="240" w:lineRule="auto"/>
              <w:cnfStyle w:val="000000010000"/>
              <w:rPr>
                <w:rFonts w:asciiTheme="minorHAnsi" w:hAnsiTheme="minorHAnsi"/>
                <w:b/>
                <w:sz w:val="12"/>
                <w:szCs w:val="12"/>
              </w:rPr>
            </w:pPr>
            <w:r w:rsidRPr="008E33DF">
              <w:rPr>
                <w:rFonts w:asciiTheme="minorHAnsi" w:hAnsiTheme="minorHAnsi"/>
                <w:b/>
                <w:sz w:val="12"/>
                <w:szCs w:val="12"/>
              </w:rPr>
              <w:t>Beperking in de beschikbaarheid van de woning</w:t>
            </w:r>
          </w:p>
        </w:tc>
      </w:tr>
      <w:tr w:rsidR="007B36E2" w:rsidRPr="008E33DF" w:rsidTr="00093B96">
        <w:trPr>
          <w:cnfStyle w:val="000000100000"/>
        </w:trPr>
        <w:tc>
          <w:tcPr>
            <w:cnfStyle w:val="001000000000"/>
            <w:tcW w:w="959" w:type="dxa"/>
            <w:gridSpan w:val="2"/>
            <w:tcBorders>
              <w:right w:val="dotted" w:sz="4" w:space="0" w:color="auto"/>
            </w:tcBorders>
            <w:shd w:val="clear" w:color="auto" w:fill="5F497A" w:themeFill="accent4" w:themeFillShade="BF"/>
            <w:vAlign w:val="center"/>
          </w:tcPr>
          <w:p w:rsidR="007B36E2" w:rsidRPr="008E33DF" w:rsidRDefault="007B36E2" w:rsidP="008D7AA7">
            <w:pPr>
              <w:spacing w:line="240" w:lineRule="auto"/>
              <w:jc w:val="center"/>
              <w:rPr>
                <w:rFonts w:asciiTheme="minorHAnsi" w:hAnsiTheme="minorHAnsi"/>
                <w:sz w:val="12"/>
                <w:szCs w:val="12"/>
              </w:rPr>
            </w:pPr>
          </w:p>
        </w:tc>
        <w:tc>
          <w:tcPr>
            <w:tcW w:w="3577" w:type="dxa"/>
            <w:gridSpan w:val="10"/>
            <w:shd w:val="clear" w:color="auto" w:fill="auto"/>
            <w:vAlign w:val="bottom"/>
          </w:tcPr>
          <w:p w:rsidR="007B36E2" w:rsidRPr="008E33DF" w:rsidRDefault="007B36E2" w:rsidP="008D7AA7">
            <w:pPr>
              <w:spacing w:line="240" w:lineRule="auto"/>
              <w:cnfStyle w:val="000000100000"/>
              <w:rPr>
                <w:rFonts w:asciiTheme="minorHAnsi" w:hAnsiTheme="minorHAnsi"/>
                <w:b/>
                <w:sz w:val="12"/>
                <w:szCs w:val="12"/>
              </w:rPr>
            </w:pPr>
            <w:r w:rsidRPr="008E33DF">
              <w:rPr>
                <w:rFonts w:asciiTheme="minorHAnsi" w:hAnsiTheme="minorHAnsi"/>
                <w:b/>
                <w:sz w:val="12"/>
                <w:szCs w:val="12"/>
              </w:rPr>
              <w:t>Huurprijs</w:t>
            </w:r>
          </w:p>
        </w:tc>
      </w:tr>
      <w:tr w:rsidR="007B36E2" w:rsidRPr="008E33DF" w:rsidTr="00093B96">
        <w:trPr>
          <w:cnfStyle w:val="000000010000"/>
        </w:trPr>
        <w:tc>
          <w:tcPr>
            <w:cnfStyle w:val="001000000000"/>
            <w:tcW w:w="959" w:type="dxa"/>
            <w:gridSpan w:val="2"/>
            <w:tcBorders>
              <w:right w:val="dotted" w:sz="4" w:space="0" w:color="auto"/>
            </w:tcBorders>
            <w:shd w:val="clear" w:color="auto" w:fill="31849B" w:themeFill="accent5" w:themeFillShade="BF"/>
            <w:vAlign w:val="center"/>
          </w:tcPr>
          <w:p w:rsidR="007B36E2" w:rsidRPr="008E33DF" w:rsidRDefault="007B36E2" w:rsidP="008D7AA7">
            <w:pPr>
              <w:spacing w:line="240" w:lineRule="auto"/>
              <w:jc w:val="center"/>
              <w:rPr>
                <w:rFonts w:asciiTheme="minorHAnsi" w:hAnsiTheme="minorHAnsi"/>
                <w:sz w:val="12"/>
                <w:szCs w:val="12"/>
              </w:rPr>
            </w:pPr>
          </w:p>
        </w:tc>
        <w:tc>
          <w:tcPr>
            <w:tcW w:w="3577" w:type="dxa"/>
            <w:gridSpan w:val="10"/>
            <w:shd w:val="clear" w:color="auto" w:fill="auto"/>
            <w:vAlign w:val="bottom"/>
          </w:tcPr>
          <w:p w:rsidR="007B36E2" w:rsidRPr="008E33DF" w:rsidRDefault="00F70F91" w:rsidP="008D7AA7">
            <w:pPr>
              <w:spacing w:line="240" w:lineRule="auto"/>
              <w:cnfStyle w:val="000000010000"/>
              <w:rPr>
                <w:rFonts w:asciiTheme="minorHAnsi" w:hAnsiTheme="minorHAnsi"/>
                <w:b/>
                <w:sz w:val="12"/>
                <w:szCs w:val="12"/>
              </w:rPr>
            </w:pPr>
            <w:r w:rsidRPr="008E33DF">
              <w:rPr>
                <w:rFonts w:asciiTheme="minorHAnsi" w:hAnsiTheme="minorHAnsi"/>
                <w:b/>
                <w:sz w:val="12"/>
                <w:szCs w:val="12"/>
              </w:rPr>
              <w:t>Kostendrager van het</w:t>
            </w:r>
            <w:r w:rsidR="007B36E2" w:rsidRPr="008E33DF">
              <w:rPr>
                <w:rFonts w:asciiTheme="minorHAnsi" w:hAnsiTheme="minorHAnsi"/>
                <w:b/>
                <w:sz w:val="12"/>
                <w:szCs w:val="12"/>
              </w:rPr>
              <w:t xml:space="preserve"> servicecontract en/of</w:t>
            </w:r>
            <w:r w:rsidRPr="008E33DF">
              <w:rPr>
                <w:rFonts w:asciiTheme="minorHAnsi" w:hAnsiTheme="minorHAnsi"/>
                <w:b/>
                <w:sz w:val="12"/>
                <w:szCs w:val="12"/>
              </w:rPr>
              <w:t xml:space="preserve"> het</w:t>
            </w:r>
            <w:r w:rsidR="007B36E2" w:rsidRPr="008E33DF">
              <w:rPr>
                <w:rFonts w:asciiTheme="minorHAnsi" w:hAnsiTheme="minorHAnsi"/>
                <w:b/>
                <w:sz w:val="12"/>
                <w:szCs w:val="12"/>
              </w:rPr>
              <w:t xml:space="preserve"> onderhoud</w:t>
            </w:r>
          </w:p>
        </w:tc>
      </w:tr>
      <w:tr w:rsidR="007B36E2" w:rsidRPr="008E33DF" w:rsidTr="00093B96">
        <w:trPr>
          <w:cnfStyle w:val="000000100000"/>
        </w:trPr>
        <w:tc>
          <w:tcPr>
            <w:cnfStyle w:val="001000000000"/>
            <w:tcW w:w="959" w:type="dxa"/>
            <w:gridSpan w:val="2"/>
            <w:tcBorders>
              <w:right w:val="dotted" w:sz="4" w:space="0" w:color="auto"/>
            </w:tcBorders>
            <w:shd w:val="clear" w:color="auto" w:fill="E36C0A" w:themeFill="accent6" w:themeFillShade="BF"/>
            <w:vAlign w:val="center"/>
          </w:tcPr>
          <w:p w:rsidR="007B36E2" w:rsidRPr="008E33DF" w:rsidRDefault="007B36E2" w:rsidP="008D7AA7">
            <w:pPr>
              <w:spacing w:line="240" w:lineRule="auto"/>
              <w:jc w:val="center"/>
              <w:rPr>
                <w:rFonts w:asciiTheme="minorHAnsi" w:hAnsiTheme="minorHAnsi"/>
                <w:sz w:val="12"/>
                <w:szCs w:val="12"/>
              </w:rPr>
            </w:pPr>
          </w:p>
        </w:tc>
        <w:tc>
          <w:tcPr>
            <w:tcW w:w="3577" w:type="dxa"/>
            <w:gridSpan w:val="10"/>
            <w:shd w:val="clear" w:color="auto" w:fill="auto"/>
            <w:vAlign w:val="bottom"/>
          </w:tcPr>
          <w:p w:rsidR="007B36E2" w:rsidRPr="008E33DF" w:rsidRDefault="007B36E2" w:rsidP="008D7AA7">
            <w:pPr>
              <w:spacing w:line="240" w:lineRule="auto"/>
              <w:cnfStyle w:val="000000100000"/>
              <w:rPr>
                <w:rFonts w:asciiTheme="minorHAnsi" w:hAnsiTheme="minorHAnsi"/>
                <w:b/>
                <w:sz w:val="12"/>
                <w:szCs w:val="12"/>
              </w:rPr>
            </w:pPr>
            <w:r w:rsidRPr="008E33DF">
              <w:rPr>
                <w:rFonts w:asciiTheme="minorHAnsi" w:hAnsiTheme="minorHAnsi"/>
                <w:b/>
                <w:sz w:val="12"/>
                <w:szCs w:val="12"/>
              </w:rPr>
              <w:t>Noodoplossing</w:t>
            </w:r>
          </w:p>
        </w:tc>
      </w:tr>
      <w:tr w:rsidR="007B36E2" w:rsidRPr="008E33DF" w:rsidTr="00093B96">
        <w:trPr>
          <w:cnfStyle w:val="000000010000"/>
        </w:trPr>
        <w:tc>
          <w:tcPr>
            <w:cnfStyle w:val="001000000000"/>
            <w:tcW w:w="959" w:type="dxa"/>
            <w:gridSpan w:val="2"/>
            <w:tcBorders>
              <w:right w:val="dotted" w:sz="4" w:space="0" w:color="auto"/>
            </w:tcBorders>
            <w:shd w:val="clear" w:color="auto" w:fill="4F81BD" w:themeFill="accent1"/>
            <w:vAlign w:val="center"/>
          </w:tcPr>
          <w:p w:rsidR="007B36E2" w:rsidRPr="008E33DF" w:rsidRDefault="007B36E2" w:rsidP="008D7AA7">
            <w:pPr>
              <w:spacing w:line="240" w:lineRule="auto"/>
              <w:jc w:val="center"/>
              <w:rPr>
                <w:rFonts w:asciiTheme="minorHAnsi" w:hAnsiTheme="minorHAnsi"/>
                <w:sz w:val="12"/>
                <w:szCs w:val="12"/>
              </w:rPr>
            </w:pPr>
          </w:p>
        </w:tc>
        <w:tc>
          <w:tcPr>
            <w:tcW w:w="3577" w:type="dxa"/>
            <w:gridSpan w:val="10"/>
            <w:shd w:val="clear" w:color="auto" w:fill="auto"/>
            <w:vAlign w:val="bottom"/>
          </w:tcPr>
          <w:p w:rsidR="007B36E2" w:rsidRPr="008E33DF" w:rsidRDefault="007B36E2" w:rsidP="008D7AA7">
            <w:pPr>
              <w:spacing w:line="240" w:lineRule="auto"/>
              <w:cnfStyle w:val="000000010000"/>
              <w:rPr>
                <w:rFonts w:asciiTheme="minorHAnsi" w:hAnsiTheme="minorHAnsi"/>
                <w:b/>
                <w:sz w:val="12"/>
                <w:szCs w:val="12"/>
              </w:rPr>
            </w:pPr>
            <w:r w:rsidRPr="008E33DF">
              <w:rPr>
                <w:rFonts w:asciiTheme="minorHAnsi" w:hAnsiTheme="minorHAnsi"/>
                <w:b/>
                <w:sz w:val="12"/>
                <w:szCs w:val="12"/>
              </w:rPr>
              <w:t>Verplicht af te nemen diensten</w:t>
            </w:r>
          </w:p>
        </w:tc>
      </w:tr>
      <w:tr w:rsidR="007B36E2" w:rsidRPr="008E33DF" w:rsidTr="00093B96">
        <w:trPr>
          <w:cnfStyle w:val="000000100000"/>
        </w:trPr>
        <w:tc>
          <w:tcPr>
            <w:cnfStyle w:val="001000000000"/>
            <w:tcW w:w="959" w:type="dxa"/>
            <w:gridSpan w:val="2"/>
            <w:tcBorders>
              <w:right w:val="dotted" w:sz="4" w:space="0" w:color="auto"/>
            </w:tcBorders>
            <w:shd w:val="clear" w:color="auto" w:fill="FF0000"/>
            <w:vAlign w:val="center"/>
          </w:tcPr>
          <w:p w:rsidR="007B36E2" w:rsidRPr="008E33DF" w:rsidRDefault="007B36E2" w:rsidP="008D7AA7">
            <w:pPr>
              <w:spacing w:line="240" w:lineRule="auto"/>
              <w:jc w:val="center"/>
              <w:rPr>
                <w:rFonts w:asciiTheme="minorHAnsi" w:hAnsiTheme="minorHAnsi"/>
                <w:sz w:val="12"/>
                <w:szCs w:val="12"/>
              </w:rPr>
            </w:pPr>
          </w:p>
        </w:tc>
        <w:tc>
          <w:tcPr>
            <w:tcW w:w="3577" w:type="dxa"/>
            <w:gridSpan w:val="10"/>
            <w:shd w:val="clear" w:color="auto" w:fill="auto"/>
            <w:vAlign w:val="bottom"/>
          </w:tcPr>
          <w:p w:rsidR="007B36E2" w:rsidRPr="008E33DF" w:rsidRDefault="00F70F91" w:rsidP="008D7AA7">
            <w:pPr>
              <w:spacing w:line="240" w:lineRule="auto"/>
              <w:cnfStyle w:val="000000100000"/>
              <w:rPr>
                <w:rFonts w:asciiTheme="minorHAnsi" w:hAnsiTheme="minorHAnsi"/>
                <w:b/>
                <w:sz w:val="12"/>
                <w:szCs w:val="12"/>
              </w:rPr>
            </w:pPr>
            <w:r w:rsidRPr="008E33DF">
              <w:rPr>
                <w:rFonts w:asciiTheme="minorHAnsi" w:hAnsiTheme="minorHAnsi"/>
                <w:b/>
                <w:sz w:val="12"/>
                <w:szCs w:val="12"/>
              </w:rPr>
              <w:t>Specia</w:t>
            </w:r>
            <w:r w:rsidR="007B36E2" w:rsidRPr="008E33DF">
              <w:rPr>
                <w:rFonts w:asciiTheme="minorHAnsi" w:hAnsiTheme="minorHAnsi"/>
                <w:b/>
                <w:sz w:val="12"/>
                <w:szCs w:val="12"/>
              </w:rPr>
              <w:t>l</w:t>
            </w:r>
            <w:r w:rsidRPr="008E33DF">
              <w:rPr>
                <w:rFonts w:asciiTheme="minorHAnsi" w:hAnsiTheme="minorHAnsi"/>
                <w:b/>
                <w:sz w:val="12"/>
                <w:szCs w:val="12"/>
              </w:rPr>
              <w:t>e</w:t>
            </w:r>
            <w:r w:rsidR="007B36E2" w:rsidRPr="008E33DF">
              <w:rPr>
                <w:rFonts w:asciiTheme="minorHAnsi" w:hAnsiTheme="minorHAnsi"/>
                <w:b/>
                <w:sz w:val="12"/>
                <w:szCs w:val="12"/>
              </w:rPr>
              <w:t xml:space="preserve"> doelgroep met voorrang op de woonruimte</w:t>
            </w:r>
          </w:p>
        </w:tc>
      </w:tr>
      <w:tr w:rsidR="007B36E2" w:rsidRPr="008E33DF" w:rsidTr="00093B96">
        <w:trPr>
          <w:cnfStyle w:val="000000010000"/>
        </w:trPr>
        <w:tc>
          <w:tcPr>
            <w:cnfStyle w:val="001000000000"/>
            <w:tcW w:w="959" w:type="dxa"/>
            <w:gridSpan w:val="2"/>
            <w:tcBorders>
              <w:right w:val="dotted" w:sz="4" w:space="0" w:color="auto"/>
            </w:tcBorders>
            <w:shd w:val="clear" w:color="auto" w:fill="808080" w:themeFill="background1" w:themeFillShade="80"/>
            <w:vAlign w:val="center"/>
          </w:tcPr>
          <w:p w:rsidR="007B36E2" w:rsidRPr="008E33DF" w:rsidRDefault="007B36E2" w:rsidP="008D7AA7">
            <w:pPr>
              <w:spacing w:line="240" w:lineRule="auto"/>
              <w:jc w:val="center"/>
              <w:rPr>
                <w:rFonts w:asciiTheme="minorHAnsi" w:hAnsiTheme="minorHAnsi"/>
                <w:sz w:val="12"/>
                <w:szCs w:val="12"/>
              </w:rPr>
            </w:pPr>
          </w:p>
        </w:tc>
        <w:tc>
          <w:tcPr>
            <w:tcW w:w="3577" w:type="dxa"/>
            <w:gridSpan w:val="10"/>
            <w:shd w:val="clear" w:color="auto" w:fill="auto"/>
            <w:vAlign w:val="bottom"/>
          </w:tcPr>
          <w:p w:rsidR="007B36E2" w:rsidRPr="008E33DF" w:rsidRDefault="00F70F91" w:rsidP="00F70F91">
            <w:pPr>
              <w:spacing w:line="240" w:lineRule="auto"/>
              <w:cnfStyle w:val="000000010000"/>
              <w:rPr>
                <w:rFonts w:asciiTheme="minorHAnsi" w:hAnsiTheme="minorHAnsi"/>
                <w:b/>
                <w:sz w:val="12"/>
                <w:szCs w:val="12"/>
              </w:rPr>
            </w:pPr>
            <w:r w:rsidRPr="008E33DF">
              <w:rPr>
                <w:rFonts w:asciiTheme="minorHAnsi" w:hAnsiTheme="minorHAnsi"/>
                <w:b/>
                <w:sz w:val="12"/>
                <w:szCs w:val="12"/>
              </w:rPr>
              <w:t>Verwijzing naar</w:t>
            </w:r>
            <w:r w:rsidR="007B36E2" w:rsidRPr="008E33DF">
              <w:rPr>
                <w:rFonts w:asciiTheme="minorHAnsi" w:hAnsiTheme="minorHAnsi"/>
                <w:b/>
                <w:sz w:val="12"/>
                <w:szCs w:val="12"/>
              </w:rPr>
              <w:t xml:space="preserve"> parlementaire geschiedenis of</w:t>
            </w:r>
            <w:r w:rsidRPr="008E33DF">
              <w:rPr>
                <w:rFonts w:asciiTheme="minorHAnsi" w:hAnsiTheme="minorHAnsi"/>
                <w:b/>
                <w:sz w:val="12"/>
                <w:szCs w:val="12"/>
              </w:rPr>
              <w:t xml:space="preserve"> </w:t>
            </w:r>
            <w:r w:rsidR="007B36E2" w:rsidRPr="008E33DF">
              <w:rPr>
                <w:rFonts w:asciiTheme="minorHAnsi" w:hAnsiTheme="minorHAnsi"/>
                <w:b/>
                <w:sz w:val="12"/>
                <w:szCs w:val="12"/>
              </w:rPr>
              <w:t>een andere uitspraak</w:t>
            </w:r>
          </w:p>
        </w:tc>
      </w:tr>
    </w:tbl>
    <w:p w:rsidR="00093B96" w:rsidRPr="008E33DF" w:rsidRDefault="00093B96" w:rsidP="00704F63">
      <w:pPr>
        <w:rPr>
          <w:rFonts w:cs="Helvetica"/>
          <w:b/>
          <w:color w:val="8DB3E2" w:themeColor="text2" w:themeTint="66"/>
          <w:szCs w:val="20"/>
        </w:rPr>
      </w:pPr>
    </w:p>
    <w:p w:rsidR="0075345C" w:rsidRPr="008E33DF" w:rsidRDefault="0075345C" w:rsidP="0075345C">
      <w:pPr>
        <w:rPr>
          <w:rFonts w:cs="Helvetica"/>
          <w:szCs w:val="20"/>
        </w:rPr>
      </w:pPr>
      <w:r w:rsidRPr="008E33DF">
        <w:rPr>
          <w:rFonts w:cs="Helvetica"/>
          <w:szCs w:val="20"/>
        </w:rPr>
        <w:t>Tabel 6 bevat de feiten en omstandigheden</w:t>
      </w:r>
      <w:r w:rsidR="00006AE8" w:rsidRPr="008E33DF">
        <w:rPr>
          <w:rFonts w:cs="Helvetica"/>
          <w:szCs w:val="20"/>
        </w:rPr>
        <w:t xml:space="preserve"> die van belang zijn voor de rechter bij het toetsen op de aard van het gebruik</w:t>
      </w:r>
      <w:r w:rsidRPr="008E33DF">
        <w:rPr>
          <w:rFonts w:cs="Helvetica"/>
          <w:szCs w:val="20"/>
        </w:rPr>
        <w:t xml:space="preserve"> van de uitspraken waarbij het beroep op art. 7:232 lid 2 BW </w:t>
      </w:r>
      <w:r w:rsidR="00C12065" w:rsidRPr="008E33DF">
        <w:rPr>
          <w:rFonts w:cs="Helvetica"/>
          <w:szCs w:val="20"/>
        </w:rPr>
        <w:t>wordt toegewezen. Uit de</w:t>
      </w:r>
      <w:r w:rsidRPr="008E33DF">
        <w:rPr>
          <w:rFonts w:cs="Helvetica"/>
          <w:szCs w:val="20"/>
        </w:rPr>
        <w:t xml:space="preserve"> tabel valt af te lezen dat de rechter bij de toetsing op deze factor vooral kijkt naar de </w:t>
      </w:r>
      <w:r w:rsidRPr="008E33DF">
        <w:rPr>
          <w:rFonts w:cs="Helvetica"/>
          <w:b/>
          <w:szCs w:val="20"/>
        </w:rPr>
        <w:t>beperking in de beschikbaarheid van de woning</w:t>
      </w:r>
      <w:r w:rsidRPr="008E33DF">
        <w:rPr>
          <w:rFonts w:cs="Helvetica"/>
          <w:szCs w:val="20"/>
        </w:rPr>
        <w:t>.</w:t>
      </w:r>
      <w:r w:rsidR="00044682" w:rsidRPr="008E33DF">
        <w:rPr>
          <w:rFonts w:cs="Helvetica"/>
          <w:szCs w:val="20"/>
        </w:rPr>
        <w:t xml:space="preserve"> </w:t>
      </w:r>
      <w:r w:rsidR="00841E0E" w:rsidRPr="008E33DF">
        <w:rPr>
          <w:rFonts w:cs="Helvetica"/>
          <w:szCs w:val="20"/>
        </w:rPr>
        <w:t xml:space="preserve">Het gaat hier vooral om woonruimten die in de duur van het gebruik begrensd zijn en met name om sloopwoningen. Dit is in lijn met de vaste </w:t>
      </w:r>
      <w:r w:rsidR="00044682" w:rsidRPr="008E33DF">
        <w:rPr>
          <w:rFonts w:cs="Helvetica"/>
          <w:szCs w:val="20"/>
        </w:rPr>
        <w:t>rechtspraak</w:t>
      </w:r>
      <w:r w:rsidR="00841E0E" w:rsidRPr="008E33DF">
        <w:rPr>
          <w:rFonts w:cs="Helvetica"/>
          <w:szCs w:val="20"/>
        </w:rPr>
        <w:t xml:space="preserve">. </w:t>
      </w:r>
      <w:r w:rsidR="005F3CE4" w:rsidRPr="008E33DF">
        <w:rPr>
          <w:rFonts w:cs="Helvetica"/>
          <w:szCs w:val="20"/>
        </w:rPr>
        <w:t>In de uitspraak van de HR</w:t>
      </w:r>
      <w:r w:rsidR="00841E0E" w:rsidRPr="008E33DF">
        <w:rPr>
          <w:rFonts w:cs="Helvetica"/>
          <w:szCs w:val="20"/>
        </w:rPr>
        <w:t xml:space="preserve"> van 30 mei 1975 </w:t>
      </w:r>
      <w:r w:rsidR="005F3CE4" w:rsidRPr="008E33DF">
        <w:rPr>
          <w:rFonts w:cs="Helvetica"/>
          <w:szCs w:val="20"/>
        </w:rPr>
        <w:t>bepaalt de rechter dat een woonruimte</w:t>
      </w:r>
      <w:r w:rsidR="00044682" w:rsidRPr="008E33DF">
        <w:rPr>
          <w:rFonts w:cs="Helvetica"/>
          <w:szCs w:val="20"/>
        </w:rPr>
        <w:t>,</w:t>
      </w:r>
      <w:r w:rsidR="005F3CE4" w:rsidRPr="008E33DF">
        <w:rPr>
          <w:rFonts w:cs="Helvetica"/>
          <w:szCs w:val="20"/>
        </w:rPr>
        <w:t xml:space="preserve"> die </w:t>
      </w:r>
      <w:r w:rsidR="00006AE8" w:rsidRPr="008E33DF">
        <w:rPr>
          <w:rFonts w:cs="Helvetica"/>
          <w:szCs w:val="20"/>
        </w:rPr>
        <w:t>op de</w:t>
      </w:r>
      <w:r w:rsidR="005F3CE4" w:rsidRPr="008E33DF">
        <w:rPr>
          <w:rFonts w:cs="Helvetica"/>
          <w:szCs w:val="20"/>
        </w:rPr>
        <w:t xml:space="preserve"> nominatie staat voor sloop</w:t>
      </w:r>
      <w:r w:rsidR="00DA4EA5" w:rsidRPr="008E33DF">
        <w:rPr>
          <w:rFonts w:cs="Helvetica"/>
          <w:szCs w:val="20"/>
        </w:rPr>
        <w:t>,</w:t>
      </w:r>
      <w:r w:rsidR="005F3CE4" w:rsidRPr="008E33DF">
        <w:rPr>
          <w:rFonts w:cs="Helvetica"/>
          <w:szCs w:val="20"/>
        </w:rPr>
        <w:t xml:space="preserve"> naar zijn aard van gebruik van korte duur is. Dit met name omdat het gebruik van de woonruimte begrensd is in </w:t>
      </w:r>
      <w:r w:rsidR="009E761E" w:rsidRPr="008E33DF">
        <w:rPr>
          <w:rFonts w:cs="Helvetica"/>
          <w:szCs w:val="20"/>
        </w:rPr>
        <w:t>de duur</w:t>
      </w:r>
      <w:r w:rsidR="005F3CE4" w:rsidRPr="008E33DF">
        <w:rPr>
          <w:rFonts w:cs="Helvetica"/>
          <w:szCs w:val="20"/>
        </w:rPr>
        <w:t>, namelijk tot het moment dat de woonruimte gesloopt zal worden (zie</w:t>
      </w:r>
      <w:r w:rsidR="009A41CF" w:rsidRPr="008E33DF">
        <w:rPr>
          <w:rFonts w:cs="Helvetica"/>
          <w:szCs w:val="20"/>
        </w:rPr>
        <w:t xml:space="preserve"> ook</w:t>
      </w:r>
      <w:r w:rsidR="005F3CE4" w:rsidRPr="008E33DF">
        <w:rPr>
          <w:rFonts w:cs="Helvetica"/>
          <w:szCs w:val="20"/>
        </w:rPr>
        <w:t xml:space="preserve"> paragraaf 3.2.4).</w:t>
      </w:r>
      <w:r w:rsidR="005F3CE4" w:rsidRPr="008E33DF">
        <w:rPr>
          <w:rStyle w:val="Voetnootmarkering"/>
          <w:rFonts w:cs="Helvetica"/>
          <w:szCs w:val="20"/>
        </w:rPr>
        <w:footnoteReference w:id="42"/>
      </w:r>
    </w:p>
    <w:p w:rsidR="005F3CE4" w:rsidRPr="008E33DF" w:rsidRDefault="005F3CE4" w:rsidP="0075345C">
      <w:pPr>
        <w:rPr>
          <w:rFonts w:cs="Helvetica"/>
          <w:szCs w:val="20"/>
        </w:rPr>
      </w:pPr>
      <w:r w:rsidRPr="008E33DF">
        <w:rPr>
          <w:rFonts w:cs="Helvetica"/>
          <w:szCs w:val="20"/>
        </w:rPr>
        <w:lastRenderedPageBreak/>
        <w:t>In de uitspraak van Rb. Arnhem van 26 april 2010 verwijst de rechter ook simpelweg naar de uitspraak van de HR van 30 mei 1975</w:t>
      </w:r>
      <w:r w:rsidR="00422F76" w:rsidRPr="008E33DF">
        <w:rPr>
          <w:rFonts w:cs="Helvetica"/>
          <w:szCs w:val="20"/>
        </w:rPr>
        <w:t xml:space="preserve"> zonder een uitgebreide motivering te geven</w:t>
      </w:r>
      <w:r w:rsidRPr="008E33DF">
        <w:rPr>
          <w:rFonts w:cs="Helvetica"/>
          <w:szCs w:val="20"/>
        </w:rPr>
        <w:t>.</w:t>
      </w:r>
      <w:r w:rsidR="00C86F6E" w:rsidRPr="008E33DF">
        <w:rPr>
          <w:rStyle w:val="Voetnootmarkering"/>
          <w:rFonts w:cs="Helvetica"/>
          <w:szCs w:val="20"/>
        </w:rPr>
        <w:footnoteReference w:id="43"/>
      </w:r>
      <w:r w:rsidR="00DA4EA5" w:rsidRPr="008E33DF">
        <w:rPr>
          <w:rFonts w:cs="Helvetica"/>
          <w:szCs w:val="20"/>
        </w:rPr>
        <w:t xml:space="preserve"> </w:t>
      </w:r>
      <w:r w:rsidR="00C86F6E" w:rsidRPr="008E33DF">
        <w:rPr>
          <w:rFonts w:cs="Helvetica"/>
          <w:szCs w:val="20"/>
        </w:rPr>
        <w:t xml:space="preserve">Ook in de overige uitspraken waarbij sprake is van een sloopwoning wordt door de rechter weinig motivering gegeven (zie bijlage </w:t>
      </w:r>
      <w:r w:rsidR="009E761E" w:rsidRPr="008E33DF">
        <w:rPr>
          <w:rFonts w:cs="Helvetica"/>
          <w:szCs w:val="20"/>
        </w:rPr>
        <w:t>6</w:t>
      </w:r>
      <w:r w:rsidR="00C86F6E" w:rsidRPr="008E33DF">
        <w:rPr>
          <w:rFonts w:cs="Helvetica"/>
          <w:szCs w:val="20"/>
        </w:rPr>
        <w:t>).</w:t>
      </w:r>
      <w:r w:rsidR="002B5D6B" w:rsidRPr="008E33DF">
        <w:rPr>
          <w:rFonts w:cs="Helvetica"/>
          <w:szCs w:val="20"/>
        </w:rPr>
        <w:t xml:space="preserve"> Dit is niet vreemd nu een sloopwoning genoemd wordt in de vaste rechtspraak.</w:t>
      </w:r>
    </w:p>
    <w:p w:rsidR="00DA4EA5" w:rsidRPr="008E33DF" w:rsidRDefault="00DA4EA5" w:rsidP="00704F63">
      <w:pPr>
        <w:rPr>
          <w:rFonts w:cs="Helvetica"/>
          <w:szCs w:val="20"/>
        </w:rPr>
      </w:pPr>
    </w:p>
    <w:p w:rsidR="0075345C" w:rsidRPr="008E33DF" w:rsidRDefault="009C332B" w:rsidP="00704F63">
      <w:pPr>
        <w:rPr>
          <w:rFonts w:cs="Helvetica"/>
          <w:szCs w:val="20"/>
        </w:rPr>
      </w:pPr>
      <w:r w:rsidRPr="008E33DF">
        <w:rPr>
          <w:rFonts w:cs="Helvetica"/>
          <w:szCs w:val="20"/>
        </w:rPr>
        <w:t>De beperking in de beschikbaarheid</w:t>
      </w:r>
      <w:r w:rsidR="00C86F6E" w:rsidRPr="008E33DF">
        <w:rPr>
          <w:rFonts w:cs="Helvetica"/>
          <w:szCs w:val="20"/>
        </w:rPr>
        <w:t xml:space="preserve"> kan ook aannemelijk worden gemaakt door de aangegeven terugkeer van de verhuurder in de woonruimte bij het aangaan van de huurovereenkomst.</w:t>
      </w:r>
      <w:r w:rsidR="002B5D6B" w:rsidRPr="008E33DF">
        <w:rPr>
          <w:rFonts w:cs="Helvetica"/>
          <w:szCs w:val="20"/>
        </w:rPr>
        <w:t xml:space="preserve"> Een voorbeeld hiervan is te vinden in de uitspraak van </w:t>
      </w:r>
      <w:r w:rsidR="00D04DF7" w:rsidRPr="008E33DF">
        <w:rPr>
          <w:rFonts w:cs="Helvetica"/>
          <w:szCs w:val="20"/>
        </w:rPr>
        <w:t>Ktr</w:t>
      </w:r>
      <w:r w:rsidR="002B5D6B" w:rsidRPr="008E33DF">
        <w:rPr>
          <w:rFonts w:cs="Helvetica"/>
          <w:szCs w:val="20"/>
        </w:rPr>
        <w:t xml:space="preserve">. Amsterdam van 19 december 2014. </w:t>
      </w:r>
      <w:r w:rsidR="00E02D75" w:rsidRPr="008E33DF">
        <w:rPr>
          <w:rFonts w:cs="Helvetica"/>
          <w:szCs w:val="20"/>
        </w:rPr>
        <w:t>In deze zaak verhuurt de verhuurder zijn woning aan de huurder voor de tijd dat hij zal proefsamenwonen met zijn vriendin. De verhuurder heeft bij het aangaan van de huurovereenkom</w:t>
      </w:r>
      <w:r w:rsidR="00C12065" w:rsidRPr="008E33DF">
        <w:rPr>
          <w:rFonts w:cs="Helvetica"/>
          <w:szCs w:val="20"/>
        </w:rPr>
        <w:t xml:space="preserve">st aangegeven dat </w:t>
      </w:r>
      <w:r w:rsidR="00DA4EA5" w:rsidRPr="008E33DF">
        <w:rPr>
          <w:rFonts w:cs="Helvetica"/>
          <w:szCs w:val="20"/>
        </w:rPr>
        <w:t xml:space="preserve">ook </w:t>
      </w:r>
      <w:r w:rsidR="00C12065" w:rsidRPr="008E33DF">
        <w:rPr>
          <w:rFonts w:cs="Helvetica"/>
          <w:szCs w:val="20"/>
        </w:rPr>
        <w:t>wanneer het</w:t>
      </w:r>
      <w:r w:rsidR="00E02D75" w:rsidRPr="008E33DF">
        <w:rPr>
          <w:rFonts w:cs="Helvetica"/>
          <w:szCs w:val="20"/>
        </w:rPr>
        <w:t xml:space="preserve"> proefsamenwonen zal slagen, hij vooralsnog zal terugkeren in de woning.</w:t>
      </w:r>
      <w:r w:rsidR="00E02D75" w:rsidRPr="008E33DF">
        <w:rPr>
          <w:rStyle w:val="Voetnootmarkering"/>
          <w:rFonts w:cs="Helvetica"/>
          <w:szCs w:val="20"/>
        </w:rPr>
        <w:footnoteReference w:id="44"/>
      </w:r>
      <w:r w:rsidR="00E02D75" w:rsidRPr="008E33DF">
        <w:rPr>
          <w:rFonts w:cs="Helvetica"/>
          <w:szCs w:val="20"/>
        </w:rPr>
        <w:t xml:space="preserve"> De duur wordt in dit geval begrensd door </w:t>
      </w:r>
      <w:r w:rsidR="009E761E" w:rsidRPr="008E33DF">
        <w:rPr>
          <w:rFonts w:cs="Helvetica"/>
          <w:szCs w:val="20"/>
        </w:rPr>
        <w:t>de</w:t>
      </w:r>
      <w:r w:rsidR="00E02D75" w:rsidRPr="008E33DF">
        <w:rPr>
          <w:rFonts w:cs="Helvetica"/>
          <w:szCs w:val="20"/>
        </w:rPr>
        <w:t xml:space="preserve"> beoogde terugkeer na </w:t>
      </w:r>
      <w:r w:rsidR="00C12065" w:rsidRPr="008E33DF">
        <w:rPr>
          <w:rFonts w:cs="Helvetica"/>
          <w:szCs w:val="20"/>
        </w:rPr>
        <w:t xml:space="preserve">het </w:t>
      </w:r>
      <w:r w:rsidR="00E02D75" w:rsidRPr="008E33DF">
        <w:rPr>
          <w:rFonts w:cs="Helvetica"/>
          <w:szCs w:val="20"/>
        </w:rPr>
        <w:t>proefsamenwonen.</w:t>
      </w:r>
      <w:r w:rsidR="00FB2BE4" w:rsidRPr="008E33DF">
        <w:rPr>
          <w:rFonts w:cs="Helvetica"/>
          <w:szCs w:val="20"/>
        </w:rPr>
        <w:t xml:space="preserve"> Een ander voorbeeld waarbij de duur begrensd wordt door de beoogde terugkeer is d</w:t>
      </w:r>
      <w:r w:rsidR="00E02D75" w:rsidRPr="008E33DF">
        <w:rPr>
          <w:rFonts w:cs="Helvetica"/>
          <w:szCs w:val="20"/>
        </w:rPr>
        <w:t xml:space="preserve">e verhuur van woonruimte </w:t>
      </w:r>
      <w:r w:rsidR="00FB2BE4" w:rsidRPr="008E33DF">
        <w:rPr>
          <w:rFonts w:cs="Helvetica"/>
          <w:szCs w:val="20"/>
        </w:rPr>
        <w:t>voor de duur van de reis va</w:t>
      </w:r>
      <w:r w:rsidR="00006AE8" w:rsidRPr="008E33DF">
        <w:rPr>
          <w:rFonts w:cs="Helvetica"/>
          <w:szCs w:val="20"/>
        </w:rPr>
        <w:t xml:space="preserve">n de verhuurder door Midden en </w:t>
      </w:r>
      <w:r w:rsidR="00FB2BE4" w:rsidRPr="008E33DF">
        <w:rPr>
          <w:rFonts w:cs="Helvetica"/>
          <w:szCs w:val="20"/>
        </w:rPr>
        <w:t>Zuid</w:t>
      </w:r>
      <w:r w:rsidR="00006AE8" w:rsidRPr="008E33DF">
        <w:rPr>
          <w:rFonts w:cs="Helvetica"/>
          <w:szCs w:val="20"/>
        </w:rPr>
        <w:t>-</w:t>
      </w:r>
      <w:r w:rsidR="00FB2BE4" w:rsidRPr="008E33DF">
        <w:rPr>
          <w:rFonts w:cs="Helvetica"/>
          <w:szCs w:val="20"/>
        </w:rPr>
        <w:t>Amerika.</w:t>
      </w:r>
      <w:r w:rsidR="00FB2BE4" w:rsidRPr="008E33DF">
        <w:rPr>
          <w:rStyle w:val="Voetnootmarkering"/>
          <w:rFonts w:cs="Helvetica"/>
          <w:szCs w:val="20"/>
        </w:rPr>
        <w:footnoteReference w:id="45"/>
      </w:r>
    </w:p>
    <w:p w:rsidR="00DA4EA5" w:rsidRPr="008E33DF" w:rsidRDefault="00DA4EA5" w:rsidP="00704F63">
      <w:pPr>
        <w:rPr>
          <w:rFonts w:cs="Helvetica"/>
          <w:szCs w:val="20"/>
        </w:rPr>
      </w:pPr>
    </w:p>
    <w:p w:rsidR="00FB2BE4" w:rsidRPr="008E33DF" w:rsidRDefault="00FB2BE4" w:rsidP="00704F63">
      <w:pPr>
        <w:rPr>
          <w:rFonts w:cs="Helvetica"/>
          <w:szCs w:val="20"/>
        </w:rPr>
      </w:pPr>
      <w:r w:rsidRPr="008E33DF">
        <w:rPr>
          <w:rFonts w:cs="Helvetica"/>
          <w:szCs w:val="20"/>
        </w:rPr>
        <w:t xml:space="preserve">Voorts kan de </w:t>
      </w:r>
      <w:r w:rsidR="009C332B" w:rsidRPr="008E33DF">
        <w:rPr>
          <w:rFonts w:cs="Helvetica"/>
          <w:szCs w:val="20"/>
        </w:rPr>
        <w:t>beperking in de beschikbaarheid</w:t>
      </w:r>
      <w:r w:rsidRPr="008E33DF">
        <w:rPr>
          <w:rFonts w:cs="Helvetica"/>
          <w:szCs w:val="20"/>
        </w:rPr>
        <w:t xml:space="preserve"> zitten in de verbondenheid van het huurcontract aan de stage of studie van de huurder.</w:t>
      </w:r>
      <w:r w:rsidRPr="008E33DF">
        <w:rPr>
          <w:rStyle w:val="Voetnootmarkering"/>
          <w:rFonts w:cs="Helvetica"/>
          <w:szCs w:val="20"/>
        </w:rPr>
        <w:footnoteReference w:id="46"/>
      </w:r>
      <w:r w:rsidR="00DA4EA5" w:rsidRPr="008E33DF">
        <w:rPr>
          <w:rFonts w:cs="Helvetica"/>
          <w:szCs w:val="20"/>
        </w:rPr>
        <w:t xml:space="preserve"> </w:t>
      </w:r>
      <w:r w:rsidRPr="008E33DF">
        <w:rPr>
          <w:rFonts w:cs="Helvetica"/>
          <w:szCs w:val="20"/>
        </w:rPr>
        <w:t>Ten slott</w:t>
      </w:r>
      <w:r w:rsidR="00C12065" w:rsidRPr="008E33DF">
        <w:rPr>
          <w:rFonts w:cs="Helvetica"/>
          <w:szCs w:val="20"/>
        </w:rPr>
        <w:t xml:space="preserve">e kan de duur begrensd worden </w:t>
      </w:r>
      <w:r w:rsidR="00DA4EA5" w:rsidRPr="008E33DF">
        <w:rPr>
          <w:rFonts w:cs="Helvetica"/>
          <w:szCs w:val="20"/>
        </w:rPr>
        <w:t>door</w:t>
      </w:r>
      <w:r w:rsidRPr="008E33DF">
        <w:rPr>
          <w:rFonts w:cs="Helvetica"/>
          <w:szCs w:val="20"/>
        </w:rPr>
        <w:t xml:space="preserve"> het feit dat de verhuurder het gehuurde slechts voor een bepaalde periode in gebruik mag </w:t>
      </w:r>
      <w:r w:rsidR="00DA4EA5" w:rsidRPr="008E33DF">
        <w:rPr>
          <w:rFonts w:cs="Helvetica"/>
          <w:szCs w:val="20"/>
        </w:rPr>
        <w:t>geven</w:t>
      </w:r>
      <w:r w:rsidRPr="008E33DF">
        <w:rPr>
          <w:rFonts w:cs="Helvetica"/>
          <w:szCs w:val="20"/>
        </w:rPr>
        <w:t xml:space="preserve">. </w:t>
      </w:r>
      <w:r w:rsidR="00937C2D" w:rsidRPr="008E33DF">
        <w:rPr>
          <w:rFonts w:cs="Helvetica"/>
          <w:szCs w:val="20"/>
        </w:rPr>
        <w:t xml:space="preserve">In de uitspraak van Rb. Den Haag van 30 januari 2013 bijvoorbeeld, heeft de verhuurder het gehuurde slechts voor </w:t>
      </w:r>
      <w:r w:rsidR="00DA4EA5" w:rsidRPr="008E33DF">
        <w:rPr>
          <w:rFonts w:cs="Helvetica"/>
          <w:szCs w:val="20"/>
        </w:rPr>
        <w:t>vijf</w:t>
      </w:r>
      <w:r w:rsidR="00937C2D" w:rsidRPr="008E33DF">
        <w:rPr>
          <w:rFonts w:cs="Helvetica"/>
          <w:szCs w:val="20"/>
        </w:rPr>
        <w:t xml:space="preserve"> jaar tot zijn beschikking om deze te verhuren. De locatie dient binnen </w:t>
      </w:r>
      <w:r w:rsidR="00DA4EA5" w:rsidRPr="008E33DF">
        <w:rPr>
          <w:rFonts w:cs="Helvetica"/>
          <w:szCs w:val="20"/>
        </w:rPr>
        <w:t>vijf</w:t>
      </w:r>
      <w:r w:rsidR="00937C2D" w:rsidRPr="008E33DF">
        <w:rPr>
          <w:rFonts w:cs="Helvetica"/>
          <w:szCs w:val="20"/>
        </w:rPr>
        <w:t xml:space="preserve"> jaar door de verhuurder ontruimd opgeleverd </w:t>
      </w:r>
      <w:r w:rsidR="00C12065" w:rsidRPr="008E33DF">
        <w:rPr>
          <w:rFonts w:cs="Helvetica"/>
          <w:szCs w:val="20"/>
        </w:rPr>
        <w:t xml:space="preserve">te </w:t>
      </w:r>
      <w:r w:rsidR="00937C2D" w:rsidRPr="008E33DF">
        <w:rPr>
          <w:rFonts w:cs="Helvetica"/>
          <w:szCs w:val="20"/>
        </w:rPr>
        <w:t>worden</w:t>
      </w:r>
      <w:r w:rsidR="00DA4EA5" w:rsidRPr="008E33DF">
        <w:rPr>
          <w:rFonts w:cs="Helvetica"/>
          <w:szCs w:val="20"/>
        </w:rPr>
        <w:t xml:space="preserve"> aan de Universiteit van Leiden</w:t>
      </w:r>
      <w:r w:rsidR="00937C2D" w:rsidRPr="008E33DF">
        <w:rPr>
          <w:rFonts w:cs="Helvetica"/>
          <w:szCs w:val="20"/>
        </w:rPr>
        <w:t>.</w:t>
      </w:r>
      <w:r w:rsidR="00937C2D" w:rsidRPr="008E33DF">
        <w:rPr>
          <w:rStyle w:val="Voetnootmarkering"/>
          <w:rFonts w:cs="Helvetica"/>
          <w:szCs w:val="20"/>
        </w:rPr>
        <w:footnoteReference w:id="47"/>
      </w:r>
      <w:r w:rsidR="00937C2D" w:rsidRPr="008E33DF">
        <w:rPr>
          <w:rFonts w:cs="Helvetica"/>
          <w:szCs w:val="20"/>
        </w:rPr>
        <w:t xml:space="preserve"> Het is begrijpelijk dat de duur van het geb</w:t>
      </w:r>
      <w:r w:rsidR="00DA4EA5" w:rsidRPr="008E33DF">
        <w:rPr>
          <w:rFonts w:cs="Helvetica"/>
          <w:szCs w:val="20"/>
        </w:rPr>
        <w:t>ruik begrensd is tot uiterlijk vijf</w:t>
      </w:r>
      <w:r w:rsidR="00937C2D" w:rsidRPr="008E33DF">
        <w:rPr>
          <w:rFonts w:cs="Helvetica"/>
          <w:szCs w:val="20"/>
        </w:rPr>
        <w:t xml:space="preserve"> jaar.</w:t>
      </w:r>
    </w:p>
    <w:p w:rsidR="009E761E" w:rsidRPr="008E33DF" w:rsidRDefault="009E761E" w:rsidP="00704F63">
      <w:pPr>
        <w:rPr>
          <w:rFonts w:cs="Helvetica"/>
          <w:szCs w:val="20"/>
        </w:rPr>
      </w:pPr>
    </w:p>
    <w:p w:rsidR="00937C2D" w:rsidRPr="008E33DF" w:rsidRDefault="009C332B" w:rsidP="00704F63">
      <w:pPr>
        <w:rPr>
          <w:rFonts w:cs="Helvetica"/>
          <w:szCs w:val="20"/>
        </w:rPr>
      </w:pPr>
      <w:r w:rsidRPr="008E33DF">
        <w:rPr>
          <w:rFonts w:cs="Helvetica"/>
          <w:szCs w:val="20"/>
        </w:rPr>
        <w:t xml:space="preserve">Bij de beoordeling van de aard van het gebruik kan de afgesproken </w:t>
      </w:r>
      <w:r w:rsidRPr="008E33DF">
        <w:rPr>
          <w:rFonts w:cs="Helvetica"/>
          <w:b/>
          <w:szCs w:val="20"/>
        </w:rPr>
        <w:t>huurprijs</w:t>
      </w:r>
      <w:r w:rsidRPr="008E33DF">
        <w:rPr>
          <w:rFonts w:cs="Helvetica"/>
          <w:szCs w:val="20"/>
        </w:rPr>
        <w:t xml:space="preserve"> ook een belangrijke rol spelen. </w:t>
      </w:r>
      <w:r w:rsidR="00D04DF7" w:rsidRPr="008E33DF">
        <w:rPr>
          <w:rFonts w:cs="Helvetica"/>
          <w:szCs w:val="20"/>
        </w:rPr>
        <w:t>Het gaat dan vooral om het feit of de afgesproken huurprijs kostendekkend is. Een afgesproken huurprijs die niet of nauwelijks kostendekkend is</w:t>
      </w:r>
      <w:r w:rsidR="003B3DE3" w:rsidRPr="008E33DF">
        <w:rPr>
          <w:rFonts w:cs="Helvetica"/>
          <w:szCs w:val="20"/>
        </w:rPr>
        <w:t xml:space="preserve"> voor de verhuurder</w:t>
      </w:r>
      <w:r w:rsidR="00D04DF7" w:rsidRPr="008E33DF">
        <w:rPr>
          <w:rFonts w:cs="Helvetica"/>
          <w:szCs w:val="20"/>
        </w:rPr>
        <w:t>, zal de rechter meewegen in zijn beoordeling bij het nemen van zijn beslissing.</w:t>
      </w:r>
      <w:r w:rsidR="003B3DE3" w:rsidRPr="008E33DF">
        <w:rPr>
          <w:rFonts w:cs="Helvetica"/>
          <w:szCs w:val="20"/>
        </w:rPr>
        <w:t xml:space="preserve"> In die zin dat de huurprijs die nauwelijks kostendekkend is, aanleiding geeft om de huurovereenkomst te kwalificeren als een huurovereenkomst die naar zijn aard van korte duur is.</w:t>
      </w:r>
      <w:r w:rsidR="00A32AEC" w:rsidRPr="008E33DF">
        <w:rPr>
          <w:rFonts w:cs="Helvetica"/>
          <w:szCs w:val="20"/>
        </w:rPr>
        <w:t xml:space="preserve"> Hierbij kan ook </w:t>
      </w:r>
      <w:r w:rsidR="00C12065" w:rsidRPr="008E33DF">
        <w:rPr>
          <w:rFonts w:cs="Helvetica"/>
          <w:szCs w:val="20"/>
        </w:rPr>
        <w:t xml:space="preserve">een </w:t>
      </w:r>
      <w:r w:rsidR="00A32AEC" w:rsidRPr="008E33DF">
        <w:rPr>
          <w:rFonts w:cs="Helvetica"/>
          <w:szCs w:val="20"/>
        </w:rPr>
        <w:t xml:space="preserve">rol spelen wie de </w:t>
      </w:r>
      <w:r w:rsidR="00A32AEC" w:rsidRPr="008E33DF">
        <w:rPr>
          <w:rFonts w:cs="Helvetica"/>
          <w:b/>
          <w:szCs w:val="20"/>
        </w:rPr>
        <w:t>kostendrager</w:t>
      </w:r>
      <w:r w:rsidR="00A32AEC" w:rsidRPr="008E33DF">
        <w:rPr>
          <w:rFonts w:cs="Helvetica"/>
          <w:szCs w:val="20"/>
        </w:rPr>
        <w:t xml:space="preserve"> is voor het gebruik van energie en water en dergelijke</w:t>
      </w:r>
      <w:r w:rsidR="00C12065" w:rsidRPr="008E33DF">
        <w:rPr>
          <w:rFonts w:cs="Helvetica"/>
          <w:szCs w:val="20"/>
        </w:rPr>
        <w:t>.</w:t>
      </w:r>
      <w:r w:rsidR="00D04DF7" w:rsidRPr="008E33DF">
        <w:rPr>
          <w:rStyle w:val="Voetnootmarkering"/>
          <w:rFonts w:cs="Helvetica"/>
          <w:szCs w:val="20"/>
        </w:rPr>
        <w:footnoteReference w:id="48"/>
      </w:r>
    </w:p>
    <w:p w:rsidR="009E761E" w:rsidRPr="008E33DF" w:rsidRDefault="009E761E" w:rsidP="00704F63">
      <w:pPr>
        <w:rPr>
          <w:rFonts w:cs="Helvetica"/>
          <w:szCs w:val="20"/>
        </w:rPr>
      </w:pPr>
    </w:p>
    <w:p w:rsidR="00D04DF7" w:rsidRPr="008E33DF" w:rsidRDefault="007906C7" w:rsidP="00704F63">
      <w:pPr>
        <w:rPr>
          <w:rFonts w:cs="Helvetica"/>
          <w:szCs w:val="20"/>
        </w:rPr>
      </w:pPr>
      <w:r w:rsidRPr="008E33DF">
        <w:rPr>
          <w:rFonts w:cs="Helvetica"/>
          <w:szCs w:val="20"/>
        </w:rPr>
        <w:t>Een ander</w:t>
      </w:r>
      <w:r w:rsidR="00C12065" w:rsidRPr="008E33DF">
        <w:rPr>
          <w:rFonts w:cs="Helvetica"/>
          <w:szCs w:val="20"/>
        </w:rPr>
        <w:t>e</w:t>
      </w:r>
      <w:r w:rsidRPr="008E33DF">
        <w:rPr>
          <w:rFonts w:cs="Helvetica"/>
          <w:szCs w:val="20"/>
        </w:rPr>
        <w:t xml:space="preserve"> belangrijke omstandigheid bij de beoordeling van de onderhavige </w:t>
      </w:r>
      <w:r w:rsidR="009E761E" w:rsidRPr="008E33DF">
        <w:rPr>
          <w:rFonts w:cs="Helvetica"/>
          <w:szCs w:val="20"/>
        </w:rPr>
        <w:t>beoordelings</w:t>
      </w:r>
      <w:r w:rsidR="0040082C" w:rsidRPr="008E33DF">
        <w:rPr>
          <w:rFonts w:cs="Helvetica"/>
          <w:szCs w:val="20"/>
        </w:rPr>
        <w:t>factor</w:t>
      </w:r>
      <w:r w:rsidRPr="008E33DF">
        <w:rPr>
          <w:rFonts w:cs="Helvetica"/>
          <w:szCs w:val="20"/>
        </w:rPr>
        <w:t xml:space="preserve"> is wanneer wordt verhuurd aan </w:t>
      </w:r>
      <w:r w:rsidR="0040082C" w:rsidRPr="008E33DF">
        <w:rPr>
          <w:rFonts w:cs="Helvetica"/>
          <w:szCs w:val="20"/>
        </w:rPr>
        <w:t>een</w:t>
      </w:r>
      <w:r w:rsidRPr="008E33DF">
        <w:rPr>
          <w:rFonts w:cs="Helvetica"/>
          <w:szCs w:val="20"/>
        </w:rPr>
        <w:t xml:space="preserve"> huurder om deze uit een </w:t>
      </w:r>
      <w:r w:rsidRPr="008E33DF">
        <w:rPr>
          <w:rFonts w:cs="Helvetica"/>
          <w:b/>
          <w:szCs w:val="20"/>
        </w:rPr>
        <w:t>noodsituatie</w:t>
      </w:r>
      <w:r w:rsidRPr="008E33DF">
        <w:rPr>
          <w:rFonts w:cs="Helvetica"/>
          <w:szCs w:val="20"/>
        </w:rPr>
        <w:t xml:space="preserve"> te helpen.</w:t>
      </w:r>
      <w:r w:rsidR="0040082C" w:rsidRPr="008E33DF">
        <w:rPr>
          <w:rFonts w:cs="Helvetica"/>
          <w:szCs w:val="20"/>
        </w:rPr>
        <w:t xml:space="preserve"> </w:t>
      </w:r>
      <w:r w:rsidR="002E649E" w:rsidRPr="008E33DF">
        <w:rPr>
          <w:rFonts w:cs="Helvetica"/>
          <w:szCs w:val="20"/>
        </w:rPr>
        <w:t xml:space="preserve">Het in gebruik geven </w:t>
      </w:r>
      <w:r w:rsidR="00C12065" w:rsidRPr="008E33DF">
        <w:rPr>
          <w:rFonts w:cs="Helvetica"/>
          <w:szCs w:val="20"/>
        </w:rPr>
        <w:t xml:space="preserve">van </w:t>
      </w:r>
      <w:r w:rsidR="002E649E" w:rsidRPr="008E33DF">
        <w:rPr>
          <w:rFonts w:cs="Helvetica"/>
          <w:szCs w:val="20"/>
        </w:rPr>
        <w:t>e</w:t>
      </w:r>
      <w:r w:rsidR="00C12065" w:rsidRPr="008E33DF">
        <w:rPr>
          <w:rFonts w:cs="Helvetica"/>
          <w:szCs w:val="20"/>
        </w:rPr>
        <w:t>en woning als noodoplossing aan</w:t>
      </w:r>
      <w:r w:rsidR="002E649E" w:rsidRPr="008E33DF">
        <w:rPr>
          <w:rFonts w:cs="Helvetica"/>
          <w:szCs w:val="20"/>
        </w:rPr>
        <w:t xml:space="preserve"> de huurder wordt al snel gezien als een huurovereenkomst </w:t>
      </w:r>
      <w:r w:rsidR="00DB2D5D" w:rsidRPr="008E33DF">
        <w:rPr>
          <w:rFonts w:cs="Helvetica"/>
          <w:szCs w:val="20"/>
        </w:rPr>
        <w:t xml:space="preserve">die </w:t>
      </w:r>
      <w:r w:rsidR="002E649E" w:rsidRPr="008E33DF">
        <w:rPr>
          <w:rFonts w:cs="Helvetica"/>
          <w:szCs w:val="20"/>
        </w:rPr>
        <w:t>naar zijn aard van korte duur</w:t>
      </w:r>
      <w:r w:rsidR="00DB2D5D" w:rsidRPr="008E33DF">
        <w:rPr>
          <w:rFonts w:cs="Helvetica"/>
          <w:szCs w:val="20"/>
        </w:rPr>
        <w:t xml:space="preserve"> is</w:t>
      </w:r>
      <w:r w:rsidR="002E649E" w:rsidRPr="008E33DF">
        <w:rPr>
          <w:rFonts w:cs="Helvetica"/>
          <w:szCs w:val="20"/>
        </w:rPr>
        <w:t xml:space="preserve">. </w:t>
      </w:r>
      <w:r w:rsidR="008E33DF">
        <w:rPr>
          <w:rFonts w:cs="Helvetica"/>
          <w:i/>
          <w:szCs w:val="20"/>
        </w:rPr>
        <w:t>"</w:t>
      </w:r>
      <w:r w:rsidR="002E649E" w:rsidRPr="008E33DF">
        <w:rPr>
          <w:rFonts w:cs="Helvetica"/>
          <w:i/>
          <w:szCs w:val="20"/>
        </w:rPr>
        <w:t xml:space="preserve">Met betrekking tot de aard van het gebruik geldt dat deze tijdelijk is, aangezien de woonruimte noodoplossing biedt voor onvoorziene </w:t>
      </w:r>
      <w:r w:rsidR="008E33DF">
        <w:rPr>
          <w:rFonts w:cs="Helvetica"/>
          <w:i/>
          <w:szCs w:val="20"/>
        </w:rPr>
        <w:lastRenderedPageBreak/>
        <w:t>omstandigheden"</w:t>
      </w:r>
      <w:r w:rsidR="002E649E" w:rsidRPr="008E33DF">
        <w:rPr>
          <w:rFonts w:cs="Helvetica"/>
          <w:i/>
          <w:szCs w:val="20"/>
        </w:rPr>
        <w:t>.</w:t>
      </w:r>
      <w:r w:rsidR="008E33DF">
        <w:rPr>
          <w:rFonts w:cs="Helvetica"/>
          <w:i/>
          <w:szCs w:val="20"/>
        </w:rPr>
        <w:t xml:space="preserve"> </w:t>
      </w:r>
      <w:r w:rsidR="002E649E" w:rsidRPr="008E33DF">
        <w:rPr>
          <w:rFonts w:cs="Helvetica"/>
          <w:szCs w:val="20"/>
        </w:rPr>
        <w:t>Uit deze bewoordingen van de rechter is af te leiden dat het aannemelijk is dat de aard van het gebruik van korte duur is als het gaat om een noodoplossing voor de huurder.</w:t>
      </w:r>
      <w:r w:rsidR="002E649E" w:rsidRPr="008E33DF">
        <w:rPr>
          <w:rStyle w:val="Voetnootmarkering"/>
          <w:rFonts w:cs="Helvetica"/>
          <w:szCs w:val="20"/>
        </w:rPr>
        <w:footnoteReference w:id="49"/>
      </w:r>
    </w:p>
    <w:p w:rsidR="009E761E" w:rsidRPr="008E33DF" w:rsidRDefault="009E761E" w:rsidP="00704F63">
      <w:pPr>
        <w:rPr>
          <w:rFonts w:cs="Helvetica"/>
          <w:szCs w:val="20"/>
        </w:rPr>
      </w:pPr>
    </w:p>
    <w:p w:rsidR="007B36E2" w:rsidRPr="008E33DF" w:rsidRDefault="000A43B6" w:rsidP="00704F63">
      <w:pPr>
        <w:rPr>
          <w:rFonts w:cs="Helvetica"/>
          <w:szCs w:val="20"/>
        </w:rPr>
      </w:pPr>
      <w:r w:rsidRPr="008E33DF">
        <w:rPr>
          <w:rFonts w:cs="Helvetica"/>
          <w:szCs w:val="20"/>
        </w:rPr>
        <w:t xml:space="preserve">Uit de afgewezen uitspraken is gebleken dat wanneer een mogelijkheid voor beroep op een </w:t>
      </w:r>
      <w:r w:rsidRPr="008E33DF">
        <w:rPr>
          <w:rFonts w:cs="Helvetica"/>
          <w:b/>
          <w:szCs w:val="20"/>
        </w:rPr>
        <w:t>andere regeling in de wet</w:t>
      </w:r>
      <w:r w:rsidRPr="008E33DF">
        <w:rPr>
          <w:rFonts w:cs="Helvetica"/>
          <w:szCs w:val="20"/>
        </w:rPr>
        <w:t xml:space="preserve"> bestaat</w:t>
      </w:r>
      <w:r w:rsidR="00AB7BAD" w:rsidRPr="008E33DF">
        <w:rPr>
          <w:rFonts w:cs="Helvetica"/>
          <w:szCs w:val="20"/>
        </w:rPr>
        <w:t>,</w:t>
      </w:r>
      <w:r w:rsidRPr="008E33DF">
        <w:rPr>
          <w:rFonts w:cs="Helvetica"/>
          <w:szCs w:val="20"/>
        </w:rPr>
        <w:t xml:space="preserve"> </w:t>
      </w:r>
      <w:r w:rsidR="00AB7BAD" w:rsidRPr="008E33DF">
        <w:rPr>
          <w:rFonts w:cs="Helvetica"/>
          <w:szCs w:val="20"/>
        </w:rPr>
        <w:t>die</w:t>
      </w:r>
      <w:r w:rsidRPr="008E33DF">
        <w:rPr>
          <w:rFonts w:cs="Helvetica"/>
          <w:szCs w:val="20"/>
        </w:rPr>
        <w:t xml:space="preserve"> dient voor die specifieke situatie, de rechter op</w:t>
      </w:r>
      <w:r w:rsidR="00AB7BAD" w:rsidRPr="008E33DF">
        <w:rPr>
          <w:rFonts w:cs="Helvetica"/>
          <w:szCs w:val="20"/>
        </w:rPr>
        <w:t xml:space="preserve"> grond hiervan kan </w:t>
      </w:r>
      <w:r w:rsidRPr="008E33DF">
        <w:rPr>
          <w:rFonts w:cs="Helvetica"/>
          <w:szCs w:val="20"/>
        </w:rPr>
        <w:t xml:space="preserve">oordelen dat de aard van het gebruik niet van korte duur is (zie paragraaf 5.3.1). </w:t>
      </w:r>
      <w:r w:rsidR="008E715E" w:rsidRPr="008E33DF">
        <w:rPr>
          <w:rFonts w:cs="Helvetica"/>
          <w:szCs w:val="20"/>
        </w:rPr>
        <w:t xml:space="preserve">In tegenstelling tot deze uitspraken </w:t>
      </w:r>
      <w:r w:rsidR="00AB7BAD" w:rsidRPr="008E33DF">
        <w:rPr>
          <w:rFonts w:cs="Helvetica"/>
          <w:szCs w:val="20"/>
        </w:rPr>
        <w:t>is</w:t>
      </w:r>
      <w:r w:rsidR="008E715E" w:rsidRPr="008E33DF">
        <w:rPr>
          <w:rFonts w:cs="Helvetica"/>
          <w:szCs w:val="20"/>
        </w:rPr>
        <w:t xml:space="preserve"> de uitspraak van Ktr. Eindhoven van 22 april 2013 anders. In deze zaak voert de huurder aan dat de verhuurder geen </w:t>
      </w:r>
      <w:r w:rsidR="00752AD8" w:rsidRPr="008E33DF">
        <w:rPr>
          <w:rFonts w:cs="Helvetica"/>
          <w:szCs w:val="20"/>
        </w:rPr>
        <w:t>gebruik heeft gemaakt van de</w:t>
      </w:r>
      <w:r w:rsidR="003041FD" w:rsidRPr="008E33DF">
        <w:rPr>
          <w:rFonts w:cs="Helvetica"/>
          <w:szCs w:val="20"/>
        </w:rPr>
        <w:t xml:space="preserve"> L</w:t>
      </w:r>
      <w:r w:rsidR="008E715E" w:rsidRPr="008E33DF">
        <w:rPr>
          <w:rFonts w:cs="Helvetica"/>
          <w:szCs w:val="20"/>
        </w:rPr>
        <w:t>eegstandswet</w:t>
      </w:r>
      <w:r w:rsidR="00752AD8" w:rsidRPr="008E33DF">
        <w:rPr>
          <w:rFonts w:cs="Helvetica"/>
          <w:szCs w:val="20"/>
        </w:rPr>
        <w:t>, die passend zou zijn in deze situatie</w:t>
      </w:r>
      <w:r w:rsidR="008E715E" w:rsidRPr="008E33DF">
        <w:rPr>
          <w:rFonts w:cs="Helvetica"/>
          <w:szCs w:val="20"/>
        </w:rPr>
        <w:t>. De rechter is van oordeel dat</w:t>
      </w:r>
      <w:r w:rsidR="00AB7BAD" w:rsidRPr="008E33DF">
        <w:rPr>
          <w:rFonts w:cs="Helvetica"/>
          <w:szCs w:val="20"/>
        </w:rPr>
        <w:t xml:space="preserve"> het</w:t>
      </w:r>
      <w:r w:rsidR="008E715E" w:rsidRPr="008E33DF">
        <w:rPr>
          <w:rFonts w:cs="Helvetica"/>
          <w:szCs w:val="20"/>
        </w:rPr>
        <w:t xml:space="preserve"> de huurder vrijstond om gebruik te maken van</w:t>
      </w:r>
      <w:r w:rsidR="00752AD8" w:rsidRPr="008E33DF">
        <w:rPr>
          <w:rFonts w:cs="Helvetica"/>
          <w:szCs w:val="20"/>
        </w:rPr>
        <w:t xml:space="preserve"> </w:t>
      </w:r>
      <w:r w:rsidR="008E715E" w:rsidRPr="008E33DF">
        <w:rPr>
          <w:rFonts w:cs="Helvetica"/>
          <w:szCs w:val="20"/>
        </w:rPr>
        <w:t>art. 7:232 lid 2 BW.</w:t>
      </w:r>
      <w:r w:rsidR="00752AD8" w:rsidRPr="008E33DF">
        <w:rPr>
          <w:rStyle w:val="Voetnootmarkering"/>
          <w:rFonts w:cs="Helvetica"/>
          <w:szCs w:val="20"/>
        </w:rPr>
        <w:footnoteReference w:id="50"/>
      </w:r>
    </w:p>
    <w:p w:rsidR="009E761E" w:rsidRPr="008E33DF" w:rsidRDefault="009E761E" w:rsidP="00704F63">
      <w:pPr>
        <w:rPr>
          <w:rFonts w:cs="Helvetica"/>
          <w:szCs w:val="20"/>
        </w:rPr>
      </w:pPr>
    </w:p>
    <w:p w:rsidR="00D7257F" w:rsidRPr="008E33DF" w:rsidRDefault="009E761E" w:rsidP="005E7558">
      <w:pPr>
        <w:pStyle w:val="Kop3"/>
      </w:pPr>
      <w:bookmarkStart w:id="47" w:name="_Toc454253675"/>
      <w:r w:rsidRPr="008E33DF">
        <w:t>5.3.3 C</w:t>
      </w:r>
      <w:r w:rsidR="00D7257F" w:rsidRPr="008E33DF">
        <w:t>onclusie</w:t>
      </w:r>
      <w:r w:rsidRPr="008E33DF">
        <w:t>:</w:t>
      </w:r>
      <w:r w:rsidR="00D7257F" w:rsidRPr="008E33DF">
        <w:t xml:space="preserve"> aard van het gebruik</w:t>
      </w:r>
      <w:bookmarkEnd w:id="47"/>
    </w:p>
    <w:p w:rsidR="00E4146E" w:rsidRPr="008E33DF" w:rsidRDefault="00E4146E" w:rsidP="00E4146E">
      <w:pPr>
        <w:rPr>
          <w:rFonts w:cs="Helvetica"/>
          <w:szCs w:val="20"/>
        </w:rPr>
      </w:pPr>
      <w:r w:rsidRPr="008E33DF">
        <w:t xml:space="preserve">Bij de behandeling van de toetsing op de aard van het gebruik is gebleken dat de rechter vooral </w:t>
      </w:r>
      <w:r w:rsidR="00AB7BAD" w:rsidRPr="008E33DF">
        <w:t>heeft gekeken</w:t>
      </w:r>
      <w:r w:rsidRPr="008E33DF">
        <w:t xml:space="preserve"> of de beschikbaarheid van de woonruimte beperkt wordt in duur. Hierbij kijkt de rechter of er een omstandigheid bestaat waardoor de woonruimte niet op lange termijn bewoond kan worden. Het gaat voornamelijk om woonruimten die op de nominatie staan voor sloop. Bij een woning die op de nominatie staat voor sloop is het duidelijk dat deze maar voor een bepaalde periode bewoond kan worden. </w:t>
      </w:r>
      <w:r w:rsidRPr="008E33DF">
        <w:rPr>
          <w:rFonts w:cs="Helvetica"/>
          <w:szCs w:val="20"/>
        </w:rPr>
        <w:t xml:space="preserve">De woning kan namelijk bewoond worden tot het moment van het realiseren van de sloop. </w:t>
      </w:r>
    </w:p>
    <w:p w:rsidR="00E4146E" w:rsidRPr="008E33DF" w:rsidRDefault="00E4146E" w:rsidP="00E4146E">
      <w:pPr>
        <w:rPr>
          <w:rFonts w:cs="Helvetica"/>
          <w:szCs w:val="20"/>
        </w:rPr>
      </w:pPr>
      <w:r w:rsidRPr="008E33DF">
        <w:rPr>
          <w:rFonts w:cs="Helvetica"/>
          <w:szCs w:val="20"/>
        </w:rPr>
        <w:t xml:space="preserve">De beschikbaarheid van de woonruimte kan ook worden begrensd door een beoogde terugkeer van de verhuurder na proefsamenwoning of een langdurige reis, de verbondenheid van de huur aan de studie of stage van de huurder of het feit dat de verhuurder zelf het gehuurde slechts in beperkte tijd mag exploiteren. </w:t>
      </w:r>
    </w:p>
    <w:p w:rsidR="00E4146E" w:rsidRPr="008E33DF" w:rsidRDefault="00E4146E" w:rsidP="00E4146E">
      <w:pPr>
        <w:rPr>
          <w:rFonts w:cs="Helvetica"/>
          <w:szCs w:val="20"/>
        </w:rPr>
      </w:pPr>
    </w:p>
    <w:p w:rsidR="00E4146E" w:rsidRPr="008E33DF" w:rsidRDefault="00E4146E" w:rsidP="00E4146E">
      <w:pPr>
        <w:rPr>
          <w:rFonts w:cs="Helvetica"/>
          <w:szCs w:val="20"/>
        </w:rPr>
      </w:pPr>
      <w:r w:rsidRPr="008E33DF">
        <w:rPr>
          <w:rFonts w:cs="Helvetica"/>
          <w:szCs w:val="20"/>
        </w:rPr>
        <w:t xml:space="preserve">Voorts kan bij de toetsing op de aard van het gebruik de afgesproken huurprijs meewegen in de beoordeling van de rechter. Hierbij kan worden aangenomen dat de afgesproken huurprijs die niet of nauwelijks kostendekkend is voor de verhuurder aanleiding kan zijn voor de rechter om de huurovereenkomst te kwalificeren als een huurovereenkomst die naar zijn aard van korte duur is.  </w:t>
      </w:r>
    </w:p>
    <w:p w:rsidR="00E4146E" w:rsidRPr="008E33DF" w:rsidRDefault="00E4146E" w:rsidP="00E4146E"/>
    <w:p w:rsidR="00E4146E" w:rsidRPr="008E33DF" w:rsidRDefault="00E4146E" w:rsidP="00E4146E">
      <w:pPr>
        <w:rPr>
          <w:rFonts w:cs="Helvetica"/>
          <w:szCs w:val="20"/>
        </w:rPr>
      </w:pPr>
      <w:r w:rsidRPr="008E33DF">
        <w:t xml:space="preserve">Vervolgens is gebleken dat </w:t>
      </w:r>
      <w:r w:rsidRPr="008E33DF">
        <w:rPr>
          <w:rFonts w:cs="Helvetica"/>
          <w:szCs w:val="20"/>
        </w:rPr>
        <w:t>wanneer een woonruimte wordt verhuurd met het doel een noodoplossing te bieden aan de huurder, aangenomen mag worden dat de aard van het gebruik van korte duur is.</w:t>
      </w:r>
    </w:p>
    <w:p w:rsidR="00E4146E" w:rsidRPr="008E33DF" w:rsidRDefault="00E4146E" w:rsidP="00E4146E"/>
    <w:p w:rsidR="00E4146E" w:rsidRPr="008E33DF" w:rsidRDefault="00E4146E" w:rsidP="00E4146E">
      <w:r w:rsidRPr="008E33DF">
        <w:t xml:space="preserve">Een belangrijke omstandigheid die bij de toetsing op deze beoordelingsfactor aanleiding geeft om het beroep op art. 7:232 lid 2 BW af te wijzen is de manier van bewoning. De rechter kan het beroep afwijzen wanneer de woonruimte bewoont wordt als hoofdverblijf. In de uitspraken waarbij het beroep wordt toegewezen komt echter ook voor dat de woonruimte bewoont wordt als hoofdverblijf. Het beroep wordt toegewezen op grond van andere feiten en omstandigheden die de aard van het gebruik bepalen. Hieruit valt te concluderen dat op grond van het feit dat de woonruimte als hoofdverblijf wordt bewoont het beroep slechts wordt afgewezen als op grond van andere feiten en omstandigheden geen aanleiding bestaat tot toewijzing van het beroep. </w:t>
      </w:r>
    </w:p>
    <w:p w:rsidR="00881B29" w:rsidRPr="008E33DF" w:rsidRDefault="00BA7983" w:rsidP="005E7558">
      <w:pPr>
        <w:pStyle w:val="Kop2"/>
      </w:pPr>
      <w:bookmarkStart w:id="48" w:name="_Toc454253676"/>
      <w:r>
        <w:lastRenderedPageBreak/>
        <w:t>5.4</w:t>
      </w:r>
      <w:r w:rsidR="00881B29" w:rsidRPr="008E33DF">
        <w:t xml:space="preserve"> Bedoelingen van partijen</w:t>
      </w:r>
      <w:bookmarkEnd w:id="48"/>
    </w:p>
    <w:p w:rsidR="00881B29" w:rsidRPr="008E33DF" w:rsidRDefault="00881B29" w:rsidP="00881B29">
      <w:pPr>
        <w:rPr>
          <w:rFonts w:cs="Helvetica"/>
          <w:szCs w:val="20"/>
        </w:rPr>
      </w:pPr>
      <w:r w:rsidRPr="008E33DF">
        <w:rPr>
          <w:rFonts w:cs="Helvetica"/>
          <w:szCs w:val="20"/>
        </w:rPr>
        <w:t>In de</w:t>
      </w:r>
      <w:r w:rsidR="002B34E2" w:rsidRPr="008E33DF">
        <w:rPr>
          <w:rFonts w:cs="Helvetica"/>
          <w:szCs w:val="20"/>
        </w:rPr>
        <w:t>ze paragraaf wordt de</w:t>
      </w:r>
      <w:r w:rsidR="00AB7BAD" w:rsidRPr="008E33DF">
        <w:rPr>
          <w:rFonts w:cs="Helvetica"/>
          <w:szCs w:val="20"/>
        </w:rPr>
        <w:t xml:space="preserve"> factor</w:t>
      </w:r>
      <w:r w:rsidRPr="008E33DF">
        <w:rPr>
          <w:rFonts w:cs="Helvetica"/>
          <w:szCs w:val="20"/>
        </w:rPr>
        <w:t xml:space="preserve"> </w:t>
      </w:r>
      <w:r w:rsidR="00AB7BAD" w:rsidRPr="008E33DF">
        <w:rPr>
          <w:rFonts w:cs="Helvetica"/>
          <w:szCs w:val="20"/>
        </w:rPr>
        <w:t>'</w:t>
      </w:r>
      <w:r w:rsidRPr="008E33DF">
        <w:rPr>
          <w:rFonts w:cs="Helvetica"/>
          <w:szCs w:val="20"/>
        </w:rPr>
        <w:t>bedoelingen va</w:t>
      </w:r>
      <w:r w:rsidR="002B34E2" w:rsidRPr="008E33DF">
        <w:rPr>
          <w:rFonts w:cs="Helvetica"/>
          <w:szCs w:val="20"/>
        </w:rPr>
        <w:t>n partijen</w:t>
      </w:r>
      <w:r w:rsidR="00AB7BAD" w:rsidRPr="008E33DF">
        <w:rPr>
          <w:rFonts w:cs="Helvetica"/>
          <w:szCs w:val="20"/>
        </w:rPr>
        <w:t>' behandeld</w:t>
      </w:r>
      <w:r w:rsidR="002B34E2" w:rsidRPr="008E33DF">
        <w:rPr>
          <w:rFonts w:cs="Helvetica"/>
          <w:szCs w:val="20"/>
        </w:rPr>
        <w:t>. Eerst wordt ingegaan op</w:t>
      </w:r>
      <w:r w:rsidR="00AB7BAD" w:rsidRPr="008E33DF">
        <w:rPr>
          <w:rFonts w:cs="Helvetica"/>
          <w:szCs w:val="20"/>
        </w:rPr>
        <w:t xml:space="preserve"> de feiten en omstandigheden in</w:t>
      </w:r>
      <w:r w:rsidRPr="008E33DF">
        <w:rPr>
          <w:rFonts w:cs="Helvetica"/>
          <w:szCs w:val="20"/>
        </w:rPr>
        <w:t xml:space="preserve"> de uitspraken waarbij het beroep op art. 7:232 lid 2 BW wordt afgew</w:t>
      </w:r>
      <w:r w:rsidR="002B34E2" w:rsidRPr="008E33DF">
        <w:rPr>
          <w:rFonts w:cs="Helvetica"/>
          <w:szCs w:val="20"/>
        </w:rPr>
        <w:t>ezen. Vervolgens komen</w:t>
      </w:r>
      <w:r w:rsidRPr="008E33DF">
        <w:rPr>
          <w:rFonts w:cs="Helvetica"/>
          <w:szCs w:val="20"/>
        </w:rPr>
        <w:t xml:space="preserve"> de feiten en omstandigheden waarbij het beroep op art. 7:232 lid 2 </w:t>
      </w:r>
      <w:r w:rsidR="00127094" w:rsidRPr="008E33DF">
        <w:rPr>
          <w:rFonts w:cs="Helvetica"/>
          <w:szCs w:val="20"/>
        </w:rPr>
        <w:t xml:space="preserve">BW </w:t>
      </w:r>
      <w:r w:rsidRPr="008E33DF">
        <w:rPr>
          <w:rFonts w:cs="Helvetica"/>
          <w:szCs w:val="20"/>
        </w:rPr>
        <w:t>wordt toegewezen</w:t>
      </w:r>
      <w:r w:rsidR="002B34E2" w:rsidRPr="008E33DF">
        <w:rPr>
          <w:rFonts w:cs="Helvetica"/>
          <w:szCs w:val="20"/>
        </w:rPr>
        <w:t xml:space="preserve"> aan bod</w:t>
      </w:r>
      <w:r w:rsidRPr="008E33DF">
        <w:rPr>
          <w:rFonts w:cs="Helvetica"/>
          <w:szCs w:val="20"/>
        </w:rPr>
        <w:t xml:space="preserve">. Ten slotte </w:t>
      </w:r>
      <w:r w:rsidR="002B34E2" w:rsidRPr="008E33DF">
        <w:rPr>
          <w:rFonts w:cs="Helvetica"/>
          <w:szCs w:val="20"/>
        </w:rPr>
        <w:t>volgt een conclusie</w:t>
      </w:r>
      <w:r w:rsidRPr="008E33DF">
        <w:rPr>
          <w:rFonts w:cs="Helvetica"/>
          <w:szCs w:val="20"/>
        </w:rPr>
        <w:t>.</w:t>
      </w:r>
    </w:p>
    <w:p w:rsidR="00C25C96" w:rsidRPr="008E33DF" w:rsidRDefault="00C25C96" w:rsidP="00881B29">
      <w:pPr>
        <w:rPr>
          <w:rFonts w:cs="Helvetica"/>
          <w:szCs w:val="20"/>
        </w:rPr>
      </w:pPr>
    </w:p>
    <w:p w:rsidR="00881B29" w:rsidRPr="008E33DF" w:rsidRDefault="00BA7983" w:rsidP="005E7558">
      <w:pPr>
        <w:pStyle w:val="Kop3"/>
      </w:pPr>
      <w:bookmarkStart w:id="49" w:name="_Toc454253677"/>
      <w:r>
        <w:t>5.4</w:t>
      </w:r>
      <w:r w:rsidR="00881B29" w:rsidRPr="008E33DF">
        <w:t>.1 Afgewezen uitspraken</w:t>
      </w:r>
      <w:bookmarkEnd w:id="49"/>
    </w:p>
    <w:p w:rsidR="00881B29" w:rsidRPr="008E33DF" w:rsidRDefault="00881B29" w:rsidP="004C6FF7">
      <w:pPr>
        <w:rPr>
          <w:rFonts w:ascii="Calibri" w:eastAsia="Times New Roman" w:hAnsi="Calibri" w:cs="Times New Roman"/>
          <w:b/>
          <w:bCs/>
          <w:color w:val="000000"/>
          <w:sz w:val="16"/>
          <w:szCs w:val="16"/>
          <w:lang w:eastAsia="nl-NL"/>
        </w:rPr>
      </w:pPr>
    </w:p>
    <w:p w:rsidR="004C6FF7" w:rsidRPr="008E33DF" w:rsidRDefault="004C6FF7" w:rsidP="00C25C96">
      <w:pPr>
        <w:spacing w:line="240" w:lineRule="auto"/>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noProof/>
          <w:color w:val="000000"/>
          <w:sz w:val="16"/>
          <w:szCs w:val="16"/>
          <w:lang w:eastAsia="nl-NL"/>
        </w:rPr>
        <w:drawing>
          <wp:anchor distT="0" distB="0" distL="114300" distR="114300" simplePos="0" relativeHeight="251670528" behindDoc="0" locked="0" layoutInCell="1" allowOverlap="1">
            <wp:simplePos x="0" y="0"/>
            <wp:positionH relativeFrom="column">
              <wp:posOffset>2863119</wp:posOffset>
            </wp:positionH>
            <wp:positionV relativeFrom="paragraph">
              <wp:posOffset>5033</wp:posOffset>
            </wp:positionV>
            <wp:extent cx="2969344" cy="2484407"/>
            <wp:effectExtent l="19050" t="0" r="21506" b="0"/>
            <wp:wrapNone/>
            <wp:docPr id="2"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8E33DF">
        <w:rPr>
          <w:rFonts w:ascii="Calibri" w:eastAsia="Times New Roman" w:hAnsi="Calibri" w:cs="Times New Roman"/>
          <w:b/>
          <w:bCs/>
          <w:color w:val="000000"/>
          <w:sz w:val="16"/>
          <w:szCs w:val="16"/>
          <w:lang w:eastAsia="nl-NL"/>
        </w:rPr>
        <w:t>Tabel 7,</w:t>
      </w:r>
      <w:r w:rsidR="00C25C96" w:rsidRPr="008E33DF">
        <w:rPr>
          <w:rFonts w:ascii="Calibri" w:eastAsia="Times New Roman" w:hAnsi="Calibri" w:cs="Times New Roman"/>
          <w:b/>
          <w:bCs/>
          <w:color w:val="000000"/>
          <w:sz w:val="16"/>
          <w:szCs w:val="16"/>
          <w:lang w:eastAsia="nl-NL"/>
        </w:rPr>
        <w:t xml:space="preserve"> b</w:t>
      </w:r>
      <w:r w:rsidR="00127094" w:rsidRPr="008E33DF">
        <w:rPr>
          <w:rFonts w:ascii="Calibri" w:eastAsia="Times New Roman" w:hAnsi="Calibri" w:cs="Times New Roman"/>
          <w:b/>
          <w:bCs/>
          <w:color w:val="000000"/>
          <w:sz w:val="16"/>
          <w:szCs w:val="16"/>
          <w:lang w:eastAsia="nl-NL"/>
        </w:rPr>
        <w:t>edoelingen van</w:t>
      </w:r>
      <w:r w:rsidRPr="008E33DF">
        <w:rPr>
          <w:rFonts w:ascii="Calibri" w:eastAsia="Times New Roman" w:hAnsi="Calibri" w:cs="Times New Roman"/>
          <w:b/>
          <w:bCs/>
          <w:color w:val="000000"/>
          <w:sz w:val="16"/>
          <w:szCs w:val="16"/>
          <w:lang w:eastAsia="nl-NL"/>
        </w:rPr>
        <w:t xml:space="preserve"> partijen</w:t>
      </w:r>
      <w:r w:rsidR="00C25C96" w:rsidRPr="008E33DF">
        <w:rPr>
          <w:rFonts w:ascii="Calibri" w:eastAsia="Times New Roman" w:hAnsi="Calibri" w:cs="Times New Roman"/>
          <w:b/>
          <w:bCs/>
          <w:color w:val="000000"/>
          <w:sz w:val="16"/>
          <w:szCs w:val="16"/>
          <w:lang w:eastAsia="nl-NL"/>
        </w:rPr>
        <w:t>, feiten en omstandigheden,</w:t>
      </w:r>
    </w:p>
    <w:p w:rsidR="004C6FF7" w:rsidRPr="008E33DF" w:rsidRDefault="004C6FF7" w:rsidP="00C25C96">
      <w:pPr>
        <w:spacing w:line="240" w:lineRule="auto"/>
        <w:rPr>
          <w:sz w:val="16"/>
          <w:szCs w:val="16"/>
        </w:rPr>
      </w:pPr>
      <w:r w:rsidRPr="008E33DF">
        <w:rPr>
          <w:rFonts w:ascii="Calibri" w:eastAsia="Times New Roman" w:hAnsi="Calibri" w:cs="Times New Roman"/>
          <w:b/>
          <w:bCs/>
          <w:color w:val="000000"/>
          <w:sz w:val="16"/>
          <w:szCs w:val="16"/>
          <w:lang w:eastAsia="nl-NL"/>
        </w:rPr>
        <w:t>beroep op art. 7:232 lid 2</w:t>
      </w:r>
      <w:r w:rsidR="00F26BCD" w:rsidRPr="008E33DF">
        <w:rPr>
          <w:rFonts w:ascii="Calibri" w:eastAsia="Times New Roman" w:hAnsi="Calibri" w:cs="Times New Roman"/>
          <w:b/>
          <w:bCs/>
          <w:color w:val="000000"/>
          <w:sz w:val="16"/>
          <w:szCs w:val="16"/>
          <w:lang w:eastAsia="nl-NL"/>
        </w:rPr>
        <w:t xml:space="preserve"> BW</w:t>
      </w:r>
      <w:r w:rsidRPr="008E33DF">
        <w:rPr>
          <w:rFonts w:ascii="Calibri" w:eastAsia="Times New Roman" w:hAnsi="Calibri" w:cs="Times New Roman"/>
          <w:b/>
          <w:bCs/>
          <w:color w:val="000000"/>
          <w:sz w:val="16"/>
          <w:szCs w:val="16"/>
          <w:lang w:eastAsia="nl-NL"/>
        </w:rPr>
        <w:t xml:space="preserve"> wordt afgewezen</w:t>
      </w:r>
      <w:r w:rsidR="00C25C96" w:rsidRPr="008E33DF">
        <w:rPr>
          <w:rFonts w:ascii="Calibri" w:eastAsia="Times New Roman" w:hAnsi="Calibri" w:cs="Times New Roman"/>
          <w:b/>
          <w:bCs/>
          <w:color w:val="000000"/>
          <w:sz w:val="16"/>
          <w:szCs w:val="16"/>
          <w:lang w:eastAsia="nl-NL"/>
        </w:rPr>
        <w:t xml:space="preserve"> (zie ook bijlage 7</w:t>
      </w:r>
      <w:r w:rsidRPr="008E33DF">
        <w:rPr>
          <w:rFonts w:ascii="Calibri" w:eastAsia="Times New Roman" w:hAnsi="Calibri" w:cs="Times New Roman"/>
          <w:b/>
          <w:bCs/>
          <w:color w:val="000000"/>
          <w:sz w:val="16"/>
          <w:szCs w:val="16"/>
          <w:lang w:eastAsia="nl-NL"/>
        </w:rPr>
        <w:t>).</w:t>
      </w:r>
    </w:p>
    <w:tbl>
      <w:tblPr>
        <w:tblStyle w:val="Lichtraster1"/>
        <w:tblW w:w="4395" w:type="dxa"/>
        <w:tblInd w:w="108" w:type="dxa"/>
        <w:tblLayout w:type="fixed"/>
        <w:tblLook w:val="04A0"/>
      </w:tblPr>
      <w:tblGrid>
        <w:gridCol w:w="851"/>
        <w:gridCol w:w="675"/>
        <w:gridCol w:w="567"/>
        <w:gridCol w:w="567"/>
        <w:gridCol w:w="567"/>
        <w:gridCol w:w="567"/>
        <w:gridCol w:w="601"/>
      </w:tblGrid>
      <w:tr w:rsidR="004C6FF7" w:rsidRPr="008E33DF" w:rsidTr="004C6FF7">
        <w:trPr>
          <w:cnfStyle w:val="100000000000"/>
        </w:trPr>
        <w:tc>
          <w:tcPr>
            <w:cnfStyle w:val="001000000000"/>
            <w:tcW w:w="4395" w:type="dxa"/>
            <w:gridSpan w:val="7"/>
            <w:vAlign w:val="bottom"/>
          </w:tcPr>
          <w:p w:rsidR="004C6FF7" w:rsidRPr="008E33DF" w:rsidRDefault="004C6FF7" w:rsidP="004C6FF7">
            <w:pPr>
              <w:jc w:val="center"/>
              <w:rPr>
                <w:rFonts w:ascii="Calibri" w:eastAsia="Times New Roman" w:hAnsi="Calibri" w:cs="Times New Roman"/>
                <w:bCs w:val="0"/>
                <w:color w:val="000000"/>
                <w:szCs w:val="20"/>
                <w:lang w:eastAsia="nl-NL"/>
              </w:rPr>
            </w:pPr>
            <w:r w:rsidRPr="008E33DF">
              <w:rPr>
                <w:rFonts w:ascii="Calibri" w:eastAsia="Times New Roman" w:hAnsi="Calibri" w:cs="Times New Roman"/>
                <w:bCs w:val="0"/>
                <w:color w:val="000000"/>
                <w:szCs w:val="20"/>
                <w:lang w:eastAsia="nl-NL"/>
              </w:rPr>
              <w:t>Categorieën</w:t>
            </w:r>
          </w:p>
        </w:tc>
      </w:tr>
      <w:tr w:rsidR="004C6FF7" w:rsidRPr="008E33DF" w:rsidTr="004C6FF7">
        <w:trPr>
          <w:cnfStyle w:val="000000100000"/>
        </w:trPr>
        <w:tc>
          <w:tcPr>
            <w:cnfStyle w:val="001000000000"/>
            <w:tcW w:w="851" w:type="dxa"/>
            <w:tcBorders>
              <w:bottom w:val="single" w:sz="18" w:space="0" w:color="000000" w:themeColor="text1"/>
            </w:tcBorders>
            <w:shd w:val="clear" w:color="auto" w:fill="auto"/>
            <w:vAlign w:val="bottom"/>
          </w:tcPr>
          <w:p w:rsidR="004C6FF7" w:rsidRPr="008E33DF" w:rsidRDefault="004C6FF7" w:rsidP="008D7AA7">
            <w:pPr>
              <w:spacing w:line="240" w:lineRule="auto"/>
              <w:jc w:val="center"/>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Nummers uitspraken</w:t>
            </w:r>
          </w:p>
        </w:tc>
        <w:tc>
          <w:tcPr>
            <w:tcW w:w="675" w:type="dxa"/>
            <w:tcBorders>
              <w:bottom w:val="single" w:sz="18" w:space="0" w:color="000000" w:themeColor="text1"/>
            </w:tcBorders>
            <w:shd w:val="clear" w:color="auto" w:fill="17365D" w:themeFill="text2" w:themeFillShade="BF"/>
            <w:vAlign w:val="center"/>
          </w:tcPr>
          <w:p w:rsidR="004C6FF7" w:rsidRPr="008E33DF" w:rsidRDefault="004C6FF7" w:rsidP="008D7AA7">
            <w:pPr>
              <w:spacing w:line="240" w:lineRule="auto"/>
              <w:jc w:val="center"/>
              <w:cnfStyle w:val="000000100000"/>
              <w:rPr>
                <w:rFonts w:asciiTheme="minorHAnsi" w:eastAsia="Times New Roman" w:hAnsiTheme="minorHAnsi" w:cs="Times New Roman"/>
                <w:color w:val="0F253F"/>
                <w:sz w:val="12"/>
                <w:szCs w:val="12"/>
                <w:lang w:eastAsia="nl-NL"/>
              </w:rPr>
            </w:pPr>
          </w:p>
        </w:tc>
        <w:tc>
          <w:tcPr>
            <w:tcW w:w="567" w:type="dxa"/>
            <w:tcBorders>
              <w:bottom w:val="single" w:sz="18" w:space="0" w:color="000000" w:themeColor="text1"/>
            </w:tcBorders>
            <w:shd w:val="clear" w:color="auto" w:fill="76923C" w:themeFill="accent3" w:themeFillShade="BF"/>
            <w:vAlign w:val="center"/>
          </w:tcPr>
          <w:p w:rsidR="004C6FF7" w:rsidRPr="008E33DF" w:rsidRDefault="004C6FF7" w:rsidP="008D7AA7">
            <w:pPr>
              <w:spacing w:line="240" w:lineRule="auto"/>
              <w:jc w:val="center"/>
              <w:cnfStyle w:val="000000100000"/>
              <w:rPr>
                <w:rFonts w:asciiTheme="minorHAnsi" w:eastAsia="Times New Roman" w:hAnsiTheme="minorHAnsi" w:cs="Times New Roman"/>
                <w:color w:val="4F6228"/>
                <w:sz w:val="12"/>
                <w:szCs w:val="12"/>
                <w:lang w:eastAsia="nl-NL"/>
              </w:rPr>
            </w:pPr>
          </w:p>
        </w:tc>
        <w:tc>
          <w:tcPr>
            <w:tcW w:w="567" w:type="dxa"/>
            <w:tcBorders>
              <w:bottom w:val="single" w:sz="18" w:space="0" w:color="000000" w:themeColor="text1"/>
            </w:tcBorders>
            <w:shd w:val="clear" w:color="auto" w:fill="943634" w:themeFill="accent2" w:themeFillShade="BF"/>
            <w:vAlign w:val="center"/>
          </w:tcPr>
          <w:p w:rsidR="004C6FF7" w:rsidRPr="008E33DF" w:rsidRDefault="004C6FF7" w:rsidP="008D7AA7">
            <w:pPr>
              <w:spacing w:line="240" w:lineRule="auto"/>
              <w:jc w:val="center"/>
              <w:cnfStyle w:val="000000100000"/>
              <w:rPr>
                <w:rFonts w:asciiTheme="minorHAnsi" w:eastAsia="Times New Roman" w:hAnsiTheme="minorHAnsi" w:cs="Times New Roman"/>
                <w:color w:val="974807"/>
                <w:sz w:val="12"/>
                <w:szCs w:val="12"/>
                <w:lang w:eastAsia="nl-NL"/>
              </w:rPr>
            </w:pPr>
          </w:p>
        </w:tc>
        <w:tc>
          <w:tcPr>
            <w:tcW w:w="567" w:type="dxa"/>
            <w:tcBorders>
              <w:bottom w:val="single" w:sz="18" w:space="0" w:color="000000" w:themeColor="text1"/>
            </w:tcBorders>
            <w:shd w:val="clear" w:color="auto" w:fill="5F497A" w:themeFill="accent4" w:themeFillShade="BF"/>
            <w:vAlign w:val="center"/>
          </w:tcPr>
          <w:p w:rsidR="004C6FF7" w:rsidRPr="008E33DF" w:rsidRDefault="004C6FF7" w:rsidP="008D7AA7">
            <w:pPr>
              <w:spacing w:line="240" w:lineRule="auto"/>
              <w:jc w:val="center"/>
              <w:cnfStyle w:val="000000100000"/>
              <w:rPr>
                <w:rFonts w:asciiTheme="minorHAnsi" w:eastAsia="Times New Roman" w:hAnsiTheme="minorHAnsi" w:cs="Times New Roman"/>
                <w:color w:val="FF0000"/>
                <w:sz w:val="12"/>
                <w:szCs w:val="12"/>
                <w:lang w:eastAsia="nl-NL"/>
              </w:rPr>
            </w:pPr>
          </w:p>
        </w:tc>
        <w:tc>
          <w:tcPr>
            <w:tcW w:w="567" w:type="dxa"/>
            <w:tcBorders>
              <w:bottom w:val="single" w:sz="18" w:space="0" w:color="000000" w:themeColor="text1"/>
            </w:tcBorders>
            <w:shd w:val="clear" w:color="auto" w:fill="808080" w:themeFill="background1" w:themeFillShade="80"/>
            <w:vAlign w:val="center"/>
          </w:tcPr>
          <w:p w:rsidR="004C6FF7" w:rsidRPr="008E33DF" w:rsidRDefault="004C6FF7" w:rsidP="008D7AA7">
            <w:pPr>
              <w:spacing w:line="240" w:lineRule="auto"/>
              <w:jc w:val="center"/>
              <w:cnfStyle w:val="000000100000"/>
              <w:rPr>
                <w:rFonts w:asciiTheme="minorHAnsi" w:eastAsia="Times New Roman" w:hAnsiTheme="minorHAnsi" w:cs="Times New Roman"/>
                <w:color w:val="7030A0"/>
                <w:sz w:val="12"/>
                <w:szCs w:val="12"/>
                <w:lang w:eastAsia="nl-NL"/>
              </w:rPr>
            </w:pPr>
          </w:p>
        </w:tc>
        <w:tc>
          <w:tcPr>
            <w:tcW w:w="601" w:type="dxa"/>
            <w:tcBorders>
              <w:bottom w:val="single" w:sz="18" w:space="0" w:color="000000" w:themeColor="text1"/>
            </w:tcBorders>
            <w:shd w:val="clear" w:color="auto" w:fill="auto"/>
            <w:vAlign w:val="bottom"/>
          </w:tcPr>
          <w:p w:rsidR="004C6FF7" w:rsidRPr="008E33DF" w:rsidRDefault="004C6FF7" w:rsidP="008D7AA7">
            <w:pPr>
              <w:spacing w:line="240" w:lineRule="auto"/>
              <w:jc w:val="center"/>
              <w:cnfStyle w:val="000000100000"/>
              <w:rPr>
                <w:rFonts w:asciiTheme="minorHAnsi" w:hAnsiTheme="minorHAnsi"/>
                <w:sz w:val="12"/>
                <w:szCs w:val="12"/>
              </w:rPr>
            </w:pPr>
          </w:p>
        </w:tc>
      </w:tr>
      <w:tr w:rsidR="004C6FF7" w:rsidRPr="008E33DF" w:rsidTr="004C6FF7">
        <w:trPr>
          <w:cnfStyle w:val="000000010000"/>
        </w:trPr>
        <w:tc>
          <w:tcPr>
            <w:cnfStyle w:val="001000000000"/>
            <w:tcW w:w="851" w:type="dxa"/>
            <w:tcBorders>
              <w:top w:val="single" w:sz="18" w:space="0" w:color="000000" w:themeColor="text1"/>
              <w:bottom w:val="dotted" w:sz="4" w:space="0" w:color="auto"/>
              <w:right w:val="dotted" w:sz="4" w:space="0" w:color="auto"/>
            </w:tcBorders>
            <w:vAlign w:val="center"/>
          </w:tcPr>
          <w:p w:rsidR="004C6FF7" w:rsidRPr="008E33DF" w:rsidRDefault="004C6FF7" w:rsidP="008D7AA7">
            <w:pPr>
              <w:spacing w:line="240" w:lineRule="auto"/>
              <w:jc w:val="center"/>
              <w:rPr>
                <w:rFonts w:asciiTheme="minorHAnsi" w:hAnsiTheme="minorHAnsi"/>
                <w:sz w:val="12"/>
                <w:szCs w:val="12"/>
              </w:rPr>
            </w:pPr>
            <w:r w:rsidRPr="008E33DF">
              <w:rPr>
                <w:rFonts w:asciiTheme="minorHAnsi" w:hAnsiTheme="minorHAnsi"/>
                <w:sz w:val="12"/>
                <w:szCs w:val="12"/>
              </w:rPr>
              <w:t>11</w:t>
            </w:r>
          </w:p>
        </w:tc>
        <w:tc>
          <w:tcPr>
            <w:tcW w:w="675" w:type="dxa"/>
            <w:tcBorders>
              <w:top w:val="single" w:sz="18" w:space="0" w:color="000000" w:themeColor="text1"/>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601" w:type="dxa"/>
            <w:tcBorders>
              <w:top w:val="single" w:sz="18" w:space="0" w:color="000000" w:themeColor="text1"/>
              <w:left w:val="single" w:sz="18" w:space="0" w:color="000000" w:themeColor="text1"/>
              <w:bottom w:val="dotted" w:sz="4" w:space="0" w:color="auto"/>
              <w:right w:val="single" w:sz="18" w:space="0" w:color="000000" w:themeColor="text1"/>
            </w:tcBorders>
            <w:vAlign w:val="center"/>
          </w:tcPr>
          <w:p w:rsidR="004C6FF7" w:rsidRPr="008E33DF" w:rsidRDefault="004C6FF7" w:rsidP="008D7AA7">
            <w:pPr>
              <w:spacing w:line="240" w:lineRule="auto"/>
              <w:jc w:val="center"/>
              <w:cnfStyle w:val="000000010000"/>
              <w:rPr>
                <w:rFonts w:asciiTheme="minorHAnsi" w:hAnsiTheme="minorHAnsi"/>
                <w:b/>
                <w:sz w:val="12"/>
                <w:szCs w:val="12"/>
              </w:rPr>
            </w:pPr>
          </w:p>
        </w:tc>
      </w:tr>
      <w:tr w:rsidR="004C6FF7" w:rsidRPr="008E33DF" w:rsidTr="004C6FF7">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rPr>
                <w:rFonts w:asciiTheme="minorHAnsi" w:hAnsiTheme="minorHAnsi"/>
                <w:sz w:val="12"/>
                <w:szCs w:val="12"/>
              </w:rPr>
            </w:pPr>
            <w:r w:rsidRPr="008E33DF">
              <w:rPr>
                <w:rFonts w:asciiTheme="minorHAnsi" w:hAnsiTheme="minorHAnsi"/>
                <w:sz w:val="12"/>
                <w:szCs w:val="12"/>
              </w:rPr>
              <w:t>13</w:t>
            </w:r>
          </w:p>
        </w:tc>
        <w:tc>
          <w:tcPr>
            <w:tcW w:w="675"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4C6FF7" w:rsidRPr="008E33DF" w:rsidRDefault="004C6FF7" w:rsidP="008D7AA7">
            <w:pPr>
              <w:spacing w:line="240" w:lineRule="auto"/>
              <w:jc w:val="center"/>
              <w:cnfStyle w:val="000000100000"/>
              <w:rPr>
                <w:rFonts w:asciiTheme="minorHAnsi" w:hAnsiTheme="minorHAnsi"/>
                <w:b/>
                <w:sz w:val="12"/>
                <w:szCs w:val="12"/>
              </w:rPr>
            </w:pPr>
          </w:p>
        </w:tc>
      </w:tr>
      <w:tr w:rsidR="004C6FF7" w:rsidRPr="008E33DF" w:rsidTr="004C6FF7">
        <w:trPr>
          <w:cnfStyle w:val="000000010000"/>
        </w:trPr>
        <w:tc>
          <w:tcPr>
            <w:cnfStyle w:val="001000000000"/>
            <w:tcW w:w="851"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rPr>
                <w:rFonts w:asciiTheme="minorHAnsi" w:hAnsiTheme="minorHAnsi"/>
                <w:sz w:val="12"/>
                <w:szCs w:val="12"/>
              </w:rPr>
            </w:pPr>
            <w:r w:rsidRPr="008E33DF">
              <w:rPr>
                <w:rFonts w:asciiTheme="minorHAnsi" w:hAnsiTheme="minorHAnsi"/>
                <w:sz w:val="12"/>
                <w:szCs w:val="12"/>
              </w:rPr>
              <w:t>15</w:t>
            </w:r>
          </w:p>
        </w:tc>
        <w:tc>
          <w:tcPr>
            <w:tcW w:w="675"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4C6FF7" w:rsidRPr="008E33DF" w:rsidRDefault="004C6FF7" w:rsidP="008D7AA7">
            <w:pPr>
              <w:spacing w:line="240" w:lineRule="auto"/>
              <w:jc w:val="center"/>
              <w:cnfStyle w:val="000000010000"/>
              <w:rPr>
                <w:rFonts w:asciiTheme="minorHAnsi" w:hAnsiTheme="minorHAnsi"/>
                <w:b/>
                <w:sz w:val="12"/>
                <w:szCs w:val="12"/>
              </w:rPr>
            </w:pPr>
          </w:p>
        </w:tc>
      </w:tr>
      <w:tr w:rsidR="004C6FF7" w:rsidRPr="008E33DF" w:rsidTr="004C6FF7">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rPr>
                <w:rFonts w:asciiTheme="minorHAnsi" w:hAnsiTheme="minorHAnsi"/>
                <w:sz w:val="12"/>
                <w:szCs w:val="12"/>
              </w:rPr>
            </w:pPr>
            <w:r w:rsidRPr="008E33DF">
              <w:rPr>
                <w:rFonts w:asciiTheme="minorHAnsi" w:hAnsiTheme="minorHAnsi"/>
                <w:sz w:val="12"/>
                <w:szCs w:val="12"/>
              </w:rPr>
              <w:t>17</w:t>
            </w:r>
          </w:p>
        </w:tc>
        <w:tc>
          <w:tcPr>
            <w:tcW w:w="675"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4C6FF7" w:rsidRPr="008E33DF" w:rsidRDefault="004C6FF7" w:rsidP="008D7AA7">
            <w:pPr>
              <w:spacing w:line="240" w:lineRule="auto"/>
              <w:jc w:val="center"/>
              <w:cnfStyle w:val="000000100000"/>
              <w:rPr>
                <w:rFonts w:asciiTheme="minorHAnsi" w:hAnsiTheme="minorHAnsi"/>
                <w:b/>
                <w:sz w:val="12"/>
                <w:szCs w:val="12"/>
              </w:rPr>
            </w:pPr>
          </w:p>
        </w:tc>
      </w:tr>
      <w:tr w:rsidR="004C6FF7" w:rsidRPr="008E33DF" w:rsidTr="004C6FF7">
        <w:trPr>
          <w:cnfStyle w:val="000000010000"/>
        </w:trPr>
        <w:tc>
          <w:tcPr>
            <w:cnfStyle w:val="001000000000"/>
            <w:tcW w:w="851"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rPr>
                <w:rFonts w:asciiTheme="minorHAnsi" w:hAnsiTheme="minorHAnsi"/>
                <w:sz w:val="12"/>
                <w:szCs w:val="12"/>
              </w:rPr>
            </w:pPr>
            <w:r w:rsidRPr="008E33DF">
              <w:rPr>
                <w:rFonts w:asciiTheme="minorHAnsi" w:hAnsiTheme="minorHAnsi"/>
                <w:sz w:val="12"/>
                <w:szCs w:val="12"/>
              </w:rPr>
              <w:t>18</w:t>
            </w:r>
          </w:p>
        </w:tc>
        <w:tc>
          <w:tcPr>
            <w:tcW w:w="675"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4C6FF7" w:rsidRPr="008E33DF" w:rsidRDefault="004C6FF7" w:rsidP="008D7AA7">
            <w:pPr>
              <w:spacing w:line="240" w:lineRule="auto"/>
              <w:jc w:val="center"/>
              <w:cnfStyle w:val="000000010000"/>
              <w:rPr>
                <w:rFonts w:asciiTheme="minorHAnsi" w:hAnsiTheme="minorHAnsi"/>
                <w:b/>
                <w:sz w:val="12"/>
                <w:szCs w:val="12"/>
              </w:rPr>
            </w:pPr>
          </w:p>
        </w:tc>
      </w:tr>
      <w:tr w:rsidR="004C6FF7" w:rsidRPr="008E33DF" w:rsidTr="004C6FF7">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rPr>
                <w:rFonts w:asciiTheme="minorHAnsi" w:hAnsiTheme="minorHAnsi"/>
                <w:sz w:val="12"/>
                <w:szCs w:val="12"/>
              </w:rPr>
            </w:pPr>
            <w:r w:rsidRPr="008E33DF">
              <w:rPr>
                <w:rFonts w:asciiTheme="minorHAnsi" w:hAnsiTheme="minorHAnsi"/>
                <w:sz w:val="12"/>
                <w:szCs w:val="12"/>
              </w:rPr>
              <w:t>20</w:t>
            </w:r>
          </w:p>
        </w:tc>
        <w:tc>
          <w:tcPr>
            <w:tcW w:w="675"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4C6FF7" w:rsidRPr="008E33DF" w:rsidRDefault="004C6FF7" w:rsidP="008D7AA7">
            <w:pPr>
              <w:spacing w:line="240" w:lineRule="auto"/>
              <w:jc w:val="center"/>
              <w:cnfStyle w:val="000000100000"/>
              <w:rPr>
                <w:rFonts w:asciiTheme="minorHAnsi" w:hAnsiTheme="minorHAnsi"/>
                <w:b/>
                <w:sz w:val="12"/>
                <w:szCs w:val="12"/>
              </w:rPr>
            </w:pPr>
          </w:p>
        </w:tc>
      </w:tr>
      <w:tr w:rsidR="004C6FF7" w:rsidRPr="008E33DF" w:rsidTr="004C6FF7">
        <w:trPr>
          <w:cnfStyle w:val="000000010000"/>
        </w:trPr>
        <w:tc>
          <w:tcPr>
            <w:cnfStyle w:val="001000000000"/>
            <w:tcW w:w="851"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rPr>
                <w:rFonts w:asciiTheme="minorHAnsi" w:hAnsiTheme="minorHAnsi"/>
                <w:sz w:val="12"/>
                <w:szCs w:val="12"/>
              </w:rPr>
            </w:pPr>
            <w:r w:rsidRPr="008E33DF">
              <w:rPr>
                <w:rFonts w:asciiTheme="minorHAnsi" w:hAnsiTheme="minorHAnsi"/>
                <w:sz w:val="12"/>
                <w:szCs w:val="12"/>
              </w:rPr>
              <w:t>23</w:t>
            </w:r>
          </w:p>
        </w:tc>
        <w:tc>
          <w:tcPr>
            <w:tcW w:w="675"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4C6FF7" w:rsidRPr="008E33DF" w:rsidRDefault="004C6FF7" w:rsidP="008D7AA7">
            <w:pPr>
              <w:spacing w:line="240" w:lineRule="auto"/>
              <w:jc w:val="center"/>
              <w:cnfStyle w:val="000000010000"/>
              <w:rPr>
                <w:rFonts w:asciiTheme="minorHAnsi" w:hAnsiTheme="minorHAnsi"/>
                <w:b/>
                <w:sz w:val="12"/>
                <w:szCs w:val="12"/>
              </w:rPr>
            </w:pPr>
          </w:p>
        </w:tc>
      </w:tr>
      <w:tr w:rsidR="004C6FF7" w:rsidRPr="008E33DF" w:rsidTr="004C6FF7">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rPr>
                <w:rFonts w:asciiTheme="minorHAnsi" w:hAnsiTheme="minorHAnsi"/>
                <w:sz w:val="12"/>
                <w:szCs w:val="12"/>
              </w:rPr>
            </w:pPr>
            <w:r w:rsidRPr="008E33DF">
              <w:rPr>
                <w:rFonts w:asciiTheme="minorHAnsi" w:hAnsiTheme="minorHAnsi"/>
                <w:sz w:val="12"/>
                <w:szCs w:val="12"/>
              </w:rPr>
              <w:t>24</w:t>
            </w:r>
          </w:p>
        </w:tc>
        <w:tc>
          <w:tcPr>
            <w:tcW w:w="675"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4C6FF7" w:rsidRPr="008E33DF" w:rsidRDefault="004C6FF7" w:rsidP="008D7AA7">
            <w:pPr>
              <w:spacing w:line="240" w:lineRule="auto"/>
              <w:jc w:val="center"/>
              <w:cnfStyle w:val="000000100000"/>
              <w:rPr>
                <w:rFonts w:asciiTheme="minorHAnsi" w:hAnsiTheme="minorHAnsi"/>
                <w:b/>
                <w:sz w:val="12"/>
                <w:szCs w:val="12"/>
              </w:rPr>
            </w:pPr>
          </w:p>
        </w:tc>
      </w:tr>
      <w:tr w:rsidR="004C6FF7" w:rsidRPr="008E33DF" w:rsidTr="004C6FF7">
        <w:trPr>
          <w:cnfStyle w:val="000000010000"/>
        </w:trPr>
        <w:tc>
          <w:tcPr>
            <w:cnfStyle w:val="001000000000"/>
            <w:tcW w:w="851"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rPr>
                <w:rFonts w:asciiTheme="minorHAnsi" w:hAnsiTheme="minorHAnsi"/>
                <w:sz w:val="12"/>
                <w:szCs w:val="12"/>
              </w:rPr>
            </w:pPr>
            <w:r w:rsidRPr="008E33DF">
              <w:rPr>
                <w:rFonts w:asciiTheme="minorHAnsi" w:hAnsiTheme="minorHAnsi"/>
                <w:sz w:val="12"/>
                <w:szCs w:val="12"/>
              </w:rPr>
              <w:t>26</w:t>
            </w:r>
          </w:p>
        </w:tc>
        <w:tc>
          <w:tcPr>
            <w:tcW w:w="675"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4C6FF7" w:rsidRPr="008E33DF" w:rsidRDefault="004C6FF7" w:rsidP="008D7AA7">
            <w:pPr>
              <w:spacing w:line="240" w:lineRule="auto"/>
              <w:jc w:val="center"/>
              <w:cnfStyle w:val="000000010000"/>
              <w:rPr>
                <w:rFonts w:asciiTheme="minorHAnsi" w:hAnsiTheme="minorHAnsi"/>
                <w:b/>
                <w:sz w:val="12"/>
                <w:szCs w:val="12"/>
              </w:rPr>
            </w:pPr>
          </w:p>
        </w:tc>
      </w:tr>
      <w:tr w:rsidR="004C6FF7" w:rsidRPr="008E33DF" w:rsidTr="004C6FF7">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rPr>
                <w:rFonts w:asciiTheme="minorHAnsi" w:hAnsiTheme="minorHAnsi"/>
                <w:sz w:val="12"/>
                <w:szCs w:val="12"/>
              </w:rPr>
            </w:pPr>
            <w:r w:rsidRPr="008E33DF">
              <w:rPr>
                <w:rFonts w:asciiTheme="minorHAnsi" w:hAnsiTheme="minorHAnsi"/>
                <w:sz w:val="12"/>
                <w:szCs w:val="12"/>
              </w:rPr>
              <w:t>27</w:t>
            </w:r>
          </w:p>
        </w:tc>
        <w:tc>
          <w:tcPr>
            <w:tcW w:w="675"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4C6FF7" w:rsidRPr="008E33DF" w:rsidRDefault="004C6FF7" w:rsidP="008D7AA7">
            <w:pPr>
              <w:spacing w:line="240" w:lineRule="auto"/>
              <w:jc w:val="center"/>
              <w:cnfStyle w:val="000000100000"/>
              <w:rPr>
                <w:rFonts w:asciiTheme="minorHAnsi" w:hAnsiTheme="minorHAnsi"/>
                <w:b/>
                <w:sz w:val="12"/>
                <w:szCs w:val="12"/>
              </w:rPr>
            </w:pPr>
          </w:p>
        </w:tc>
      </w:tr>
      <w:tr w:rsidR="004C6FF7" w:rsidRPr="008E33DF" w:rsidTr="004C6FF7">
        <w:trPr>
          <w:cnfStyle w:val="000000010000"/>
        </w:trPr>
        <w:tc>
          <w:tcPr>
            <w:cnfStyle w:val="001000000000"/>
            <w:tcW w:w="851"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rPr>
                <w:rFonts w:asciiTheme="minorHAnsi" w:hAnsiTheme="minorHAnsi"/>
                <w:sz w:val="12"/>
                <w:szCs w:val="12"/>
              </w:rPr>
            </w:pPr>
            <w:r w:rsidRPr="008E33DF">
              <w:rPr>
                <w:rFonts w:asciiTheme="minorHAnsi" w:hAnsiTheme="minorHAnsi"/>
                <w:sz w:val="12"/>
                <w:szCs w:val="12"/>
              </w:rPr>
              <w:t>35</w:t>
            </w:r>
          </w:p>
        </w:tc>
        <w:tc>
          <w:tcPr>
            <w:tcW w:w="675" w:type="dxa"/>
            <w:tcBorders>
              <w:top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4C6FF7" w:rsidRPr="008E33DF" w:rsidRDefault="004C6FF7" w:rsidP="008D7AA7">
            <w:pPr>
              <w:spacing w:line="240" w:lineRule="auto"/>
              <w:jc w:val="center"/>
              <w:cnfStyle w:val="000000010000"/>
              <w:rPr>
                <w:rFonts w:asciiTheme="minorHAnsi" w:hAnsiTheme="minorHAnsi"/>
                <w:sz w:val="12"/>
                <w:szCs w:val="12"/>
              </w:rPr>
            </w:pPr>
          </w:p>
        </w:tc>
        <w:tc>
          <w:tcPr>
            <w:tcW w:w="601" w:type="dxa"/>
            <w:tcBorders>
              <w:top w:val="dotted" w:sz="4" w:space="0" w:color="auto"/>
              <w:left w:val="single" w:sz="18" w:space="0" w:color="000000" w:themeColor="text1"/>
              <w:bottom w:val="dotted" w:sz="4" w:space="0" w:color="auto"/>
              <w:right w:val="single" w:sz="18" w:space="0" w:color="000000" w:themeColor="text1"/>
            </w:tcBorders>
            <w:vAlign w:val="center"/>
          </w:tcPr>
          <w:p w:rsidR="004C6FF7" w:rsidRPr="008E33DF" w:rsidRDefault="004C6FF7" w:rsidP="008D7AA7">
            <w:pPr>
              <w:spacing w:line="240" w:lineRule="auto"/>
              <w:jc w:val="center"/>
              <w:cnfStyle w:val="000000010000"/>
              <w:rPr>
                <w:rFonts w:asciiTheme="minorHAnsi" w:hAnsiTheme="minorHAnsi"/>
                <w:b/>
                <w:sz w:val="12"/>
                <w:szCs w:val="12"/>
              </w:rPr>
            </w:pPr>
          </w:p>
        </w:tc>
      </w:tr>
      <w:tr w:rsidR="004C6FF7" w:rsidRPr="008E33DF" w:rsidTr="004C6FF7">
        <w:trPr>
          <w:cnfStyle w:val="000000100000"/>
        </w:trPr>
        <w:tc>
          <w:tcPr>
            <w:cnfStyle w:val="001000000000"/>
            <w:tcW w:w="851" w:type="dxa"/>
            <w:tcBorders>
              <w:top w:val="single" w:sz="18" w:space="0" w:color="000000" w:themeColor="text1"/>
              <w:left w:val="single" w:sz="18" w:space="0" w:color="000000" w:themeColor="text1"/>
              <w:bottom w:val="single" w:sz="18" w:space="0" w:color="000000" w:themeColor="text1"/>
              <w:right w:val="dotted" w:sz="4" w:space="0" w:color="auto"/>
            </w:tcBorders>
            <w:vAlign w:val="center"/>
          </w:tcPr>
          <w:p w:rsidR="004C6FF7" w:rsidRPr="008E33DF" w:rsidRDefault="004C6FF7" w:rsidP="008D7AA7">
            <w:pPr>
              <w:spacing w:line="240" w:lineRule="auto"/>
              <w:jc w:val="center"/>
              <w:rPr>
                <w:rFonts w:asciiTheme="minorHAnsi" w:hAnsiTheme="minorHAnsi"/>
                <w:sz w:val="12"/>
                <w:szCs w:val="12"/>
              </w:rPr>
            </w:pPr>
            <w:r w:rsidRPr="008E33DF">
              <w:rPr>
                <w:rFonts w:asciiTheme="minorHAnsi" w:hAnsiTheme="minorHAnsi"/>
                <w:sz w:val="12"/>
                <w:szCs w:val="12"/>
              </w:rPr>
              <w:t>11</w:t>
            </w:r>
          </w:p>
        </w:tc>
        <w:tc>
          <w:tcPr>
            <w:tcW w:w="675" w:type="dxa"/>
            <w:tcBorders>
              <w:top w:val="single" w:sz="18" w:space="0" w:color="000000" w:themeColor="text1"/>
              <w:bottom w:val="single" w:sz="18" w:space="0" w:color="000000" w:themeColor="text1"/>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10</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3</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2</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1</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4C6FF7" w:rsidRPr="008E33DF" w:rsidRDefault="004C6FF7"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3</w:t>
            </w:r>
          </w:p>
        </w:tc>
        <w:tc>
          <w:tcPr>
            <w:tcW w:w="601" w:type="dxa"/>
            <w:tcBorders>
              <w:top w:val="single" w:sz="18" w:space="0" w:color="000000" w:themeColor="text1"/>
              <w:left w:val="single" w:sz="18" w:space="0" w:color="000000" w:themeColor="text1"/>
              <w:bottom w:val="single" w:sz="18" w:space="0" w:color="000000" w:themeColor="text1"/>
              <w:right w:val="single" w:sz="12" w:space="0" w:color="000000" w:themeColor="text1"/>
            </w:tcBorders>
            <w:vAlign w:val="center"/>
          </w:tcPr>
          <w:p w:rsidR="004C6FF7" w:rsidRPr="008E33DF" w:rsidRDefault="004C6FF7" w:rsidP="008D7AA7">
            <w:pPr>
              <w:spacing w:line="240" w:lineRule="auto"/>
              <w:jc w:val="center"/>
              <w:cnfStyle w:val="000000100000"/>
              <w:rPr>
                <w:rFonts w:asciiTheme="minorHAnsi" w:hAnsiTheme="minorHAnsi"/>
                <w:b/>
                <w:sz w:val="12"/>
                <w:szCs w:val="12"/>
              </w:rPr>
            </w:pPr>
            <w:r w:rsidRPr="008E33DF">
              <w:rPr>
                <w:rFonts w:asciiTheme="minorHAnsi" w:hAnsiTheme="minorHAnsi"/>
                <w:b/>
                <w:sz w:val="12"/>
                <w:szCs w:val="12"/>
              </w:rPr>
              <w:t>Totaal</w:t>
            </w:r>
          </w:p>
        </w:tc>
      </w:tr>
      <w:tr w:rsidR="004C6FF7" w:rsidRPr="008E33DF" w:rsidTr="004C6FF7">
        <w:trPr>
          <w:cnfStyle w:val="000000010000"/>
        </w:trPr>
        <w:tc>
          <w:tcPr>
            <w:cnfStyle w:val="001000000000"/>
            <w:tcW w:w="851" w:type="dxa"/>
            <w:tcBorders>
              <w:top w:val="single" w:sz="18" w:space="0" w:color="000000" w:themeColor="text1"/>
              <w:right w:val="dotted" w:sz="4" w:space="0" w:color="auto"/>
            </w:tcBorders>
            <w:shd w:val="clear" w:color="auto" w:fill="17365D" w:themeFill="text2" w:themeFillShade="BF"/>
            <w:vAlign w:val="center"/>
          </w:tcPr>
          <w:p w:rsidR="004C6FF7" w:rsidRPr="008E33DF" w:rsidRDefault="004C6FF7" w:rsidP="008D7AA7">
            <w:pPr>
              <w:spacing w:line="240" w:lineRule="auto"/>
              <w:jc w:val="center"/>
              <w:rPr>
                <w:rFonts w:asciiTheme="minorHAnsi" w:hAnsiTheme="minorHAnsi"/>
                <w:sz w:val="12"/>
                <w:szCs w:val="12"/>
              </w:rPr>
            </w:pPr>
          </w:p>
        </w:tc>
        <w:tc>
          <w:tcPr>
            <w:tcW w:w="3544" w:type="dxa"/>
            <w:gridSpan w:val="6"/>
            <w:tcBorders>
              <w:top w:val="single" w:sz="18" w:space="0" w:color="000000" w:themeColor="text1"/>
            </w:tcBorders>
            <w:shd w:val="clear" w:color="auto" w:fill="auto"/>
            <w:vAlign w:val="bottom"/>
          </w:tcPr>
          <w:p w:rsidR="004C6FF7" w:rsidRPr="008E33DF" w:rsidRDefault="004C6FF7" w:rsidP="008D7AA7">
            <w:pPr>
              <w:spacing w:line="240" w:lineRule="auto"/>
              <w:cnfStyle w:val="000000010000"/>
              <w:rPr>
                <w:rFonts w:asciiTheme="minorHAnsi" w:hAnsiTheme="minorHAnsi"/>
                <w:b/>
                <w:sz w:val="12"/>
                <w:szCs w:val="12"/>
              </w:rPr>
            </w:pPr>
            <w:r w:rsidRPr="008E33DF">
              <w:rPr>
                <w:rFonts w:asciiTheme="minorHAnsi" w:hAnsiTheme="minorHAnsi"/>
                <w:b/>
                <w:sz w:val="12"/>
                <w:szCs w:val="12"/>
              </w:rPr>
              <w:t>Aanwijzingen in de huurovereenkomst en/of correspondentie</w:t>
            </w:r>
          </w:p>
        </w:tc>
      </w:tr>
      <w:tr w:rsidR="004C6FF7" w:rsidRPr="008E33DF" w:rsidTr="004C6FF7">
        <w:trPr>
          <w:cnfStyle w:val="000000100000"/>
        </w:trPr>
        <w:tc>
          <w:tcPr>
            <w:cnfStyle w:val="001000000000"/>
            <w:tcW w:w="851" w:type="dxa"/>
            <w:tcBorders>
              <w:right w:val="dotted" w:sz="4" w:space="0" w:color="auto"/>
            </w:tcBorders>
            <w:shd w:val="clear" w:color="auto" w:fill="76923C" w:themeFill="accent3" w:themeFillShade="BF"/>
            <w:vAlign w:val="center"/>
          </w:tcPr>
          <w:p w:rsidR="004C6FF7" w:rsidRPr="008E33DF" w:rsidRDefault="004C6FF7" w:rsidP="008D7AA7">
            <w:pPr>
              <w:spacing w:line="240" w:lineRule="auto"/>
              <w:jc w:val="center"/>
              <w:rPr>
                <w:rFonts w:asciiTheme="minorHAnsi" w:hAnsiTheme="minorHAnsi"/>
                <w:sz w:val="12"/>
                <w:szCs w:val="12"/>
              </w:rPr>
            </w:pPr>
          </w:p>
        </w:tc>
        <w:tc>
          <w:tcPr>
            <w:tcW w:w="3544" w:type="dxa"/>
            <w:gridSpan w:val="6"/>
            <w:shd w:val="clear" w:color="auto" w:fill="auto"/>
            <w:vAlign w:val="bottom"/>
          </w:tcPr>
          <w:p w:rsidR="004C6FF7" w:rsidRPr="008E33DF" w:rsidRDefault="004C6FF7" w:rsidP="008D7AA7">
            <w:pPr>
              <w:spacing w:line="240" w:lineRule="auto"/>
              <w:cnfStyle w:val="000000100000"/>
              <w:rPr>
                <w:rFonts w:asciiTheme="minorHAnsi" w:hAnsiTheme="minorHAnsi"/>
                <w:b/>
                <w:sz w:val="12"/>
                <w:szCs w:val="12"/>
              </w:rPr>
            </w:pPr>
            <w:r w:rsidRPr="008E33DF">
              <w:rPr>
                <w:rFonts w:asciiTheme="minorHAnsi" w:hAnsiTheme="minorHAnsi"/>
                <w:b/>
                <w:sz w:val="12"/>
                <w:szCs w:val="12"/>
              </w:rPr>
              <w:t>Beoogde verkoop, renovatie of sloop</w:t>
            </w:r>
          </w:p>
        </w:tc>
      </w:tr>
      <w:tr w:rsidR="004C6FF7" w:rsidRPr="008E33DF" w:rsidTr="004C6FF7">
        <w:trPr>
          <w:cnfStyle w:val="000000010000"/>
        </w:trPr>
        <w:tc>
          <w:tcPr>
            <w:cnfStyle w:val="001000000000"/>
            <w:tcW w:w="851" w:type="dxa"/>
            <w:tcBorders>
              <w:right w:val="dotted" w:sz="4" w:space="0" w:color="auto"/>
            </w:tcBorders>
            <w:shd w:val="clear" w:color="auto" w:fill="943634" w:themeFill="accent2" w:themeFillShade="BF"/>
            <w:vAlign w:val="center"/>
          </w:tcPr>
          <w:p w:rsidR="004C6FF7" w:rsidRPr="008E33DF" w:rsidRDefault="004C6FF7" w:rsidP="008D7AA7">
            <w:pPr>
              <w:spacing w:line="240" w:lineRule="auto"/>
              <w:jc w:val="center"/>
              <w:rPr>
                <w:rFonts w:asciiTheme="minorHAnsi" w:hAnsiTheme="minorHAnsi"/>
                <w:sz w:val="12"/>
                <w:szCs w:val="12"/>
              </w:rPr>
            </w:pPr>
          </w:p>
        </w:tc>
        <w:tc>
          <w:tcPr>
            <w:tcW w:w="3544" w:type="dxa"/>
            <w:gridSpan w:val="6"/>
            <w:shd w:val="clear" w:color="auto" w:fill="auto"/>
            <w:vAlign w:val="bottom"/>
          </w:tcPr>
          <w:p w:rsidR="004C6FF7" w:rsidRPr="008E33DF" w:rsidRDefault="004C6FF7" w:rsidP="008D7AA7">
            <w:pPr>
              <w:spacing w:line="240" w:lineRule="auto"/>
              <w:cnfStyle w:val="000000010000"/>
              <w:rPr>
                <w:rFonts w:asciiTheme="minorHAnsi" w:hAnsiTheme="minorHAnsi"/>
                <w:b/>
                <w:sz w:val="12"/>
                <w:szCs w:val="12"/>
              </w:rPr>
            </w:pPr>
            <w:r w:rsidRPr="008E33DF">
              <w:rPr>
                <w:rFonts w:asciiTheme="minorHAnsi" w:hAnsiTheme="minorHAnsi"/>
                <w:b/>
                <w:sz w:val="12"/>
                <w:szCs w:val="12"/>
              </w:rPr>
              <w:t>Verklaringen van partijen</w:t>
            </w:r>
          </w:p>
        </w:tc>
      </w:tr>
      <w:tr w:rsidR="004C6FF7" w:rsidRPr="008E33DF" w:rsidTr="004C6FF7">
        <w:trPr>
          <w:cnfStyle w:val="000000100000"/>
        </w:trPr>
        <w:tc>
          <w:tcPr>
            <w:cnfStyle w:val="001000000000"/>
            <w:tcW w:w="851" w:type="dxa"/>
            <w:tcBorders>
              <w:right w:val="dotted" w:sz="4" w:space="0" w:color="auto"/>
            </w:tcBorders>
            <w:shd w:val="clear" w:color="auto" w:fill="5F497A" w:themeFill="accent4" w:themeFillShade="BF"/>
            <w:vAlign w:val="center"/>
          </w:tcPr>
          <w:p w:rsidR="004C6FF7" w:rsidRPr="008E33DF" w:rsidRDefault="004C6FF7" w:rsidP="008D7AA7">
            <w:pPr>
              <w:spacing w:line="240" w:lineRule="auto"/>
              <w:jc w:val="center"/>
              <w:rPr>
                <w:rFonts w:asciiTheme="minorHAnsi" w:hAnsiTheme="minorHAnsi"/>
                <w:sz w:val="12"/>
                <w:szCs w:val="12"/>
              </w:rPr>
            </w:pPr>
          </w:p>
        </w:tc>
        <w:tc>
          <w:tcPr>
            <w:tcW w:w="3544" w:type="dxa"/>
            <w:gridSpan w:val="6"/>
            <w:shd w:val="clear" w:color="auto" w:fill="auto"/>
            <w:vAlign w:val="bottom"/>
          </w:tcPr>
          <w:p w:rsidR="004C6FF7" w:rsidRPr="008E33DF" w:rsidRDefault="004C6FF7" w:rsidP="008D7AA7">
            <w:pPr>
              <w:spacing w:line="240" w:lineRule="auto"/>
              <w:cnfStyle w:val="000000100000"/>
              <w:rPr>
                <w:rFonts w:asciiTheme="minorHAnsi" w:hAnsiTheme="minorHAnsi"/>
                <w:b/>
                <w:sz w:val="12"/>
                <w:szCs w:val="12"/>
              </w:rPr>
            </w:pPr>
            <w:r w:rsidRPr="008E33DF">
              <w:rPr>
                <w:rFonts w:asciiTheme="minorHAnsi" w:hAnsiTheme="minorHAnsi"/>
                <w:b/>
                <w:sz w:val="12"/>
                <w:szCs w:val="12"/>
              </w:rPr>
              <w:t>Aanwijzingen in de advertentie/website</w:t>
            </w:r>
          </w:p>
        </w:tc>
      </w:tr>
      <w:tr w:rsidR="004C6FF7" w:rsidRPr="008E33DF" w:rsidTr="004C6FF7">
        <w:trPr>
          <w:cnfStyle w:val="000000010000"/>
        </w:trPr>
        <w:tc>
          <w:tcPr>
            <w:cnfStyle w:val="001000000000"/>
            <w:tcW w:w="851" w:type="dxa"/>
            <w:tcBorders>
              <w:right w:val="dotted" w:sz="4" w:space="0" w:color="auto"/>
            </w:tcBorders>
            <w:shd w:val="clear" w:color="auto" w:fill="808080" w:themeFill="background1" w:themeFillShade="80"/>
            <w:vAlign w:val="center"/>
          </w:tcPr>
          <w:p w:rsidR="004C6FF7" w:rsidRPr="008E33DF" w:rsidRDefault="004C6FF7" w:rsidP="008D7AA7">
            <w:pPr>
              <w:spacing w:line="240" w:lineRule="auto"/>
              <w:jc w:val="center"/>
              <w:rPr>
                <w:rFonts w:asciiTheme="minorHAnsi" w:hAnsiTheme="minorHAnsi"/>
                <w:sz w:val="12"/>
                <w:szCs w:val="12"/>
              </w:rPr>
            </w:pPr>
          </w:p>
        </w:tc>
        <w:tc>
          <w:tcPr>
            <w:tcW w:w="3544" w:type="dxa"/>
            <w:gridSpan w:val="6"/>
            <w:shd w:val="clear" w:color="auto" w:fill="auto"/>
            <w:vAlign w:val="bottom"/>
          </w:tcPr>
          <w:p w:rsidR="004C6FF7" w:rsidRPr="008E33DF" w:rsidRDefault="004C6FF7" w:rsidP="008D7AA7">
            <w:pPr>
              <w:spacing w:line="240" w:lineRule="auto"/>
              <w:cnfStyle w:val="000000010000"/>
              <w:rPr>
                <w:rFonts w:asciiTheme="minorHAnsi" w:hAnsiTheme="minorHAnsi"/>
                <w:b/>
                <w:sz w:val="12"/>
                <w:szCs w:val="12"/>
              </w:rPr>
            </w:pPr>
            <w:r w:rsidRPr="008E33DF">
              <w:rPr>
                <w:rFonts w:asciiTheme="minorHAnsi" w:hAnsiTheme="minorHAnsi"/>
                <w:b/>
                <w:sz w:val="12"/>
                <w:szCs w:val="12"/>
              </w:rPr>
              <w:t>Overig</w:t>
            </w:r>
          </w:p>
        </w:tc>
      </w:tr>
    </w:tbl>
    <w:p w:rsidR="004C6FF7" w:rsidRPr="008E33DF" w:rsidRDefault="004C6FF7" w:rsidP="00881B29">
      <w:pPr>
        <w:rPr>
          <w:rFonts w:cs="Helvetica"/>
          <w:szCs w:val="20"/>
        </w:rPr>
      </w:pPr>
    </w:p>
    <w:p w:rsidR="00EF38B6" w:rsidRPr="008E33DF" w:rsidRDefault="00977581" w:rsidP="00881B29">
      <w:pPr>
        <w:rPr>
          <w:rFonts w:cs="Helvetica"/>
          <w:szCs w:val="20"/>
        </w:rPr>
      </w:pPr>
      <w:r w:rsidRPr="008E33DF">
        <w:rPr>
          <w:rFonts w:cs="Helvetica"/>
          <w:szCs w:val="20"/>
        </w:rPr>
        <w:t>Tabel 7</w:t>
      </w:r>
      <w:r w:rsidR="00FE33E8" w:rsidRPr="008E33DF">
        <w:rPr>
          <w:rFonts w:cs="Helvetica"/>
          <w:szCs w:val="20"/>
        </w:rPr>
        <w:t xml:space="preserve"> bevat de feiten en omstandigheden</w:t>
      </w:r>
      <w:r w:rsidR="00E4146E" w:rsidRPr="008E33DF">
        <w:rPr>
          <w:rFonts w:cs="Helvetica"/>
          <w:szCs w:val="20"/>
        </w:rPr>
        <w:t xml:space="preserve"> die van belang zijn voor de rechter bij het toetsen op de bedoelingen van partijen</w:t>
      </w:r>
      <w:r w:rsidR="00FE33E8" w:rsidRPr="008E33DF">
        <w:rPr>
          <w:rFonts w:cs="Helvetica"/>
          <w:szCs w:val="20"/>
        </w:rPr>
        <w:t xml:space="preserve"> van de uitspraken waarbij het beroep op art. 7:232 lid 2 wordt afgewezen. </w:t>
      </w:r>
      <w:r w:rsidR="00E0183A" w:rsidRPr="008E33DF">
        <w:rPr>
          <w:rFonts w:cs="Helvetica"/>
          <w:szCs w:val="20"/>
        </w:rPr>
        <w:t>Uit de</w:t>
      </w:r>
      <w:r w:rsidRPr="008E33DF">
        <w:rPr>
          <w:rFonts w:cs="Helvetica"/>
          <w:szCs w:val="20"/>
        </w:rPr>
        <w:t xml:space="preserve"> tabel wordt duidelijk dat de rechter vooral kijkt naar </w:t>
      </w:r>
      <w:r w:rsidRPr="008E33DF">
        <w:rPr>
          <w:rFonts w:cs="Helvetica"/>
          <w:b/>
          <w:szCs w:val="20"/>
        </w:rPr>
        <w:t>aanwijz</w:t>
      </w:r>
      <w:r w:rsidR="00E4146E" w:rsidRPr="008E33DF">
        <w:rPr>
          <w:rFonts w:cs="Helvetica"/>
          <w:b/>
          <w:szCs w:val="20"/>
        </w:rPr>
        <w:t>ingen in de huurovereenkomst</w:t>
      </w:r>
      <w:r w:rsidR="00AB7BAD" w:rsidRPr="008E33DF">
        <w:rPr>
          <w:rFonts w:cs="Helvetica"/>
          <w:b/>
          <w:szCs w:val="20"/>
        </w:rPr>
        <w:t xml:space="preserve"> en,</w:t>
      </w:r>
      <w:r w:rsidR="00E4146E" w:rsidRPr="008E33DF">
        <w:rPr>
          <w:rFonts w:cs="Helvetica"/>
          <w:b/>
          <w:szCs w:val="20"/>
        </w:rPr>
        <w:t xml:space="preserve"> </w:t>
      </w:r>
      <w:r w:rsidRPr="008E33DF">
        <w:rPr>
          <w:rFonts w:cs="Helvetica"/>
          <w:b/>
          <w:szCs w:val="20"/>
        </w:rPr>
        <w:t>of correspondentie</w:t>
      </w:r>
      <w:r w:rsidR="00460D79" w:rsidRPr="008E33DF">
        <w:rPr>
          <w:rFonts w:cs="Helvetica"/>
          <w:szCs w:val="20"/>
        </w:rPr>
        <w:t xml:space="preserve">. De huurovereenkomst moet aanwijzingen bevatten dat </w:t>
      </w:r>
      <w:r w:rsidR="00AB7BAD" w:rsidRPr="008E33DF">
        <w:rPr>
          <w:rFonts w:cs="Helvetica"/>
          <w:szCs w:val="20"/>
        </w:rPr>
        <w:t>het gaat om huur van woonruimte</w:t>
      </w:r>
      <w:r w:rsidR="00460D79" w:rsidRPr="008E33DF">
        <w:rPr>
          <w:rFonts w:cs="Helvetica"/>
          <w:szCs w:val="20"/>
        </w:rPr>
        <w:t xml:space="preserve"> </w:t>
      </w:r>
      <w:r w:rsidR="00E14717" w:rsidRPr="008E33DF">
        <w:rPr>
          <w:rFonts w:cs="Helvetica"/>
          <w:szCs w:val="20"/>
        </w:rPr>
        <w:t>met een tijdelijk karakter</w:t>
      </w:r>
      <w:r w:rsidR="00460D79" w:rsidRPr="008E33DF">
        <w:rPr>
          <w:rFonts w:cs="Helvetica"/>
          <w:szCs w:val="20"/>
        </w:rPr>
        <w:t xml:space="preserve">. In de uitspraak van Rb. Rotterdam van 28 december 2012 </w:t>
      </w:r>
      <w:r w:rsidR="00E0183A" w:rsidRPr="008E33DF">
        <w:rPr>
          <w:rFonts w:cs="Helvetica"/>
          <w:szCs w:val="20"/>
        </w:rPr>
        <w:t>overweegt de rechter het volgende:</w:t>
      </w:r>
      <w:r w:rsidR="008E33DF">
        <w:rPr>
          <w:rFonts w:cs="Helvetica"/>
          <w:i/>
          <w:szCs w:val="20"/>
        </w:rPr>
        <w:t>"</w:t>
      </w:r>
      <w:r w:rsidR="00CE2E70" w:rsidRPr="008E33DF">
        <w:rPr>
          <w:rFonts w:cs="Helvetica"/>
          <w:i/>
          <w:szCs w:val="20"/>
        </w:rPr>
        <w:t>Ook de inhoud van het huurcontract biedt onvoldoende aanwijzing dat het g</w:t>
      </w:r>
      <w:r w:rsidR="008E33DF">
        <w:rPr>
          <w:rFonts w:cs="Helvetica"/>
          <w:i/>
          <w:szCs w:val="20"/>
        </w:rPr>
        <w:t>aat om huur van tijdelijke aard"</w:t>
      </w:r>
      <w:r w:rsidR="00E0183A" w:rsidRPr="008E33DF">
        <w:rPr>
          <w:rFonts w:cs="Helvetica"/>
          <w:i/>
          <w:szCs w:val="20"/>
        </w:rPr>
        <w:t>.</w:t>
      </w:r>
      <w:r w:rsidR="008E33DF">
        <w:rPr>
          <w:rFonts w:cs="Helvetica"/>
          <w:i/>
          <w:szCs w:val="20"/>
        </w:rPr>
        <w:t xml:space="preserve"> </w:t>
      </w:r>
      <w:r w:rsidR="00CE2E70" w:rsidRPr="008E33DF">
        <w:rPr>
          <w:rFonts w:cs="Helvetica"/>
          <w:szCs w:val="20"/>
        </w:rPr>
        <w:t xml:space="preserve">Daarbij neemt de rechter in zijn beoordeling ook mee hoe de </w:t>
      </w:r>
      <w:r w:rsidR="00CE2E70" w:rsidRPr="008E33DF">
        <w:rPr>
          <w:rFonts w:cs="Helvetica"/>
          <w:b/>
          <w:szCs w:val="20"/>
        </w:rPr>
        <w:t>advertentie</w:t>
      </w:r>
      <w:r w:rsidR="00CE2E70" w:rsidRPr="008E33DF">
        <w:rPr>
          <w:rFonts w:cs="Helvetica"/>
          <w:szCs w:val="20"/>
        </w:rPr>
        <w:t xml:space="preserve"> is gedaan. </w:t>
      </w:r>
      <w:r w:rsidR="008E33DF">
        <w:rPr>
          <w:rFonts w:cs="Helvetica"/>
          <w:i/>
          <w:szCs w:val="20"/>
        </w:rPr>
        <w:t>"</w:t>
      </w:r>
      <w:r w:rsidR="00CE2E70" w:rsidRPr="008E33DF">
        <w:rPr>
          <w:rFonts w:cs="Helvetica"/>
          <w:i/>
          <w:szCs w:val="20"/>
        </w:rPr>
        <w:t>Van betekenis is dat -zoals door [gedaagde] onweersproken is gesteld- [eiser] de woonruimte middels een aan het algemene publiek gerichte advertentie te huur heeft aangeboden zonder daarbij melding te maken dat het slechts zou gaan om tijdelijke verhuur</w:t>
      </w:r>
      <w:r w:rsidR="008E33DF">
        <w:rPr>
          <w:rFonts w:cs="Helvetica"/>
          <w:i/>
          <w:szCs w:val="20"/>
        </w:rPr>
        <w:t>"</w:t>
      </w:r>
      <w:r w:rsidR="00CE2E70" w:rsidRPr="008E33DF">
        <w:rPr>
          <w:rStyle w:val="Voetnootmarkering"/>
          <w:rFonts w:cs="Helvetica"/>
          <w:i/>
          <w:szCs w:val="20"/>
        </w:rPr>
        <w:footnoteReference w:id="51"/>
      </w:r>
      <w:r w:rsidR="00AB7BAD" w:rsidRPr="008E33DF">
        <w:rPr>
          <w:rFonts w:cs="Helvetica"/>
          <w:i/>
          <w:szCs w:val="20"/>
        </w:rPr>
        <w:t xml:space="preserve"> </w:t>
      </w:r>
      <w:r w:rsidR="006A1807" w:rsidRPr="008E33DF">
        <w:rPr>
          <w:rFonts w:cs="Helvetica"/>
          <w:szCs w:val="20"/>
        </w:rPr>
        <w:t>Voorts moet</w:t>
      </w:r>
      <w:r w:rsidR="00AB7BAD" w:rsidRPr="008E33DF">
        <w:rPr>
          <w:rFonts w:cs="Helvetica"/>
          <w:szCs w:val="20"/>
        </w:rPr>
        <w:t>en</w:t>
      </w:r>
      <w:r w:rsidR="006A1807" w:rsidRPr="008E33DF">
        <w:rPr>
          <w:rFonts w:cs="Helvetica"/>
          <w:szCs w:val="20"/>
        </w:rPr>
        <w:t xml:space="preserve"> in de </w:t>
      </w:r>
      <w:r w:rsidR="006A1807" w:rsidRPr="008E33DF">
        <w:rPr>
          <w:rFonts w:cs="Helvetica"/>
          <w:b/>
          <w:szCs w:val="20"/>
        </w:rPr>
        <w:t>huurovereenkomst</w:t>
      </w:r>
      <w:r w:rsidR="006A1807" w:rsidRPr="008E33DF">
        <w:rPr>
          <w:rFonts w:cs="Helvetica"/>
          <w:szCs w:val="20"/>
        </w:rPr>
        <w:t xml:space="preserve"> de bedoelingen van de partijen duidelijk naar voren komen. </w:t>
      </w:r>
      <w:r w:rsidR="001F70EB" w:rsidRPr="008E33DF">
        <w:rPr>
          <w:rFonts w:cs="Helvetica"/>
          <w:szCs w:val="20"/>
        </w:rPr>
        <w:t>Een voorbeeld hiervan is te vinden in de uitspraak van Rb. Zutphen van 18 mei 2011. In deze zaak is de verhuurder van mening dat hij met de h</w:t>
      </w:r>
      <w:r w:rsidR="00E0183A" w:rsidRPr="008E33DF">
        <w:rPr>
          <w:rFonts w:cs="Helvetica"/>
          <w:szCs w:val="20"/>
        </w:rPr>
        <w:t>uurder een huurovereenkomst is</w:t>
      </w:r>
      <w:r w:rsidR="00AB7BAD" w:rsidRPr="008E33DF">
        <w:rPr>
          <w:rFonts w:cs="Helvetica"/>
          <w:szCs w:val="20"/>
        </w:rPr>
        <w:t xml:space="preserve"> overeengekomen die</w:t>
      </w:r>
      <w:r w:rsidR="001F70EB" w:rsidRPr="008E33DF">
        <w:rPr>
          <w:rFonts w:cs="Helvetica"/>
          <w:szCs w:val="20"/>
        </w:rPr>
        <w:t xml:space="preserve"> naar zijn aard van korte duur is. De woonruimte is verhuurd</w:t>
      </w:r>
      <w:r w:rsidR="00E0183A" w:rsidRPr="008E33DF">
        <w:rPr>
          <w:rFonts w:cs="Helvetica"/>
          <w:szCs w:val="20"/>
        </w:rPr>
        <w:t>,</w:t>
      </w:r>
      <w:r w:rsidR="001F70EB" w:rsidRPr="008E33DF">
        <w:rPr>
          <w:rFonts w:cs="Helvetica"/>
          <w:szCs w:val="20"/>
        </w:rPr>
        <w:t xml:space="preserve"> omdat de verhuurder voor werkzaamheden langdurig in het buitenland zou verblijven. Volgens de rechter </w:t>
      </w:r>
      <w:r w:rsidR="00EF38B6" w:rsidRPr="008E33DF">
        <w:rPr>
          <w:rFonts w:cs="Helvetica"/>
          <w:szCs w:val="20"/>
        </w:rPr>
        <w:t>is deze bedoeling niet duidelijk naar voren gekomen i</w:t>
      </w:r>
      <w:r w:rsidR="001F70EB" w:rsidRPr="008E33DF">
        <w:rPr>
          <w:rFonts w:cs="Helvetica"/>
          <w:szCs w:val="20"/>
        </w:rPr>
        <w:t xml:space="preserve">n de overeenkomst. </w:t>
      </w:r>
      <w:r w:rsidR="00EF38B6" w:rsidRPr="008E33DF">
        <w:rPr>
          <w:rFonts w:cs="Helvetica"/>
          <w:szCs w:val="20"/>
        </w:rPr>
        <w:t>Met name omdat d</w:t>
      </w:r>
      <w:r w:rsidR="001F70EB" w:rsidRPr="008E33DF">
        <w:rPr>
          <w:rFonts w:cs="Helvetica"/>
          <w:szCs w:val="20"/>
        </w:rPr>
        <w:t>e zogenaamde diplomatenclausule niet</w:t>
      </w:r>
      <w:r w:rsidR="00EF38B6" w:rsidRPr="008E33DF">
        <w:rPr>
          <w:rFonts w:cs="Helvetica"/>
          <w:szCs w:val="20"/>
        </w:rPr>
        <w:t xml:space="preserve"> is</w:t>
      </w:r>
      <w:r w:rsidR="001F70EB" w:rsidRPr="008E33DF">
        <w:rPr>
          <w:rFonts w:cs="Helvetica"/>
          <w:szCs w:val="20"/>
        </w:rPr>
        <w:t xml:space="preserve"> opgenomen in de huurovereenkomst. </w:t>
      </w:r>
      <w:r w:rsidR="00EF38B6" w:rsidRPr="008E33DF">
        <w:rPr>
          <w:rFonts w:cs="Helvetica"/>
          <w:szCs w:val="20"/>
        </w:rPr>
        <w:t>Wat de diplomatenclausule inhoudt</w:t>
      </w:r>
      <w:r w:rsidR="00E0183A" w:rsidRPr="008E33DF">
        <w:rPr>
          <w:rFonts w:cs="Helvetica"/>
          <w:szCs w:val="20"/>
        </w:rPr>
        <w:t>,</w:t>
      </w:r>
      <w:r w:rsidR="00EF38B6" w:rsidRPr="008E33DF">
        <w:rPr>
          <w:rFonts w:cs="Helvetica"/>
          <w:szCs w:val="20"/>
        </w:rPr>
        <w:t xml:space="preserve"> </w:t>
      </w:r>
      <w:r w:rsidR="0063706A" w:rsidRPr="008E33DF">
        <w:rPr>
          <w:rFonts w:cs="Helvetica"/>
          <w:szCs w:val="20"/>
        </w:rPr>
        <w:t>is</w:t>
      </w:r>
      <w:r w:rsidR="00EF38B6" w:rsidRPr="008E33DF">
        <w:rPr>
          <w:rFonts w:cs="Helvetica"/>
          <w:szCs w:val="20"/>
        </w:rPr>
        <w:t xml:space="preserve"> in paragraaf 2.4.1 besproken. De rechter zegt ook dat </w:t>
      </w:r>
      <w:r w:rsidR="008E33DF">
        <w:rPr>
          <w:rFonts w:cs="Helvetica"/>
          <w:i/>
          <w:szCs w:val="20"/>
        </w:rPr>
        <w:t>"</w:t>
      </w:r>
      <w:r w:rsidR="00EF38B6" w:rsidRPr="008E33DF">
        <w:rPr>
          <w:rFonts w:cs="Helvetica"/>
          <w:i/>
          <w:szCs w:val="20"/>
        </w:rPr>
        <w:t xml:space="preserve">de enkele vermelding in de huurovereenkomst dat het gaat om gebruik van de woning dat naar zijn aard van de korte duur is, niet zonder meer leidt tot de conclusie dat dit een </w:t>
      </w:r>
      <w:r w:rsidR="00EF38B6" w:rsidRPr="008E33DF">
        <w:rPr>
          <w:rFonts w:cs="Helvetica"/>
          <w:i/>
          <w:szCs w:val="20"/>
        </w:rPr>
        <w:lastRenderedPageBreak/>
        <w:t>huurovereenkomst in de zin van artikel 7:232 lid 2 BW is</w:t>
      </w:r>
      <w:r w:rsidR="008E33DF">
        <w:rPr>
          <w:rFonts w:cs="Helvetica"/>
          <w:i/>
          <w:szCs w:val="20"/>
        </w:rPr>
        <w:t>"</w:t>
      </w:r>
      <w:r w:rsidR="00EF38B6" w:rsidRPr="008E33DF">
        <w:rPr>
          <w:rFonts w:cs="Helvetica"/>
          <w:szCs w:val="20"/>
        </w:rPr>
        <w:t>.</w:t>
      </w:r>
      <w:r w:rsidR="00EF38B6" w:rsidRPr="008E33DF">
        <w:rPr>
          <w:rStyle w:val="Voetnootmarkering"/>
          <w:rFonts w:cs="Helvetica"/>
          <w:szCs w:val="20"/>
        </w:rPr>
        <w:footnoteReference w:id="52"/>
      </w:r>
      <w:r w:rsidR="00EF38B6" w:rsidRPr="008E33DF">
        <w:rPr>
          <w:rFonts w:cs="Helvetica"/>
          <w:szCs w:val="20"/>
        </w:rPr>
        <w:t xml:space="preserve"> In meerdere uitspraken zegt de rechter</w:t>
      </w:r>
      <w:r w:rsidR="002437D1" w:rsidRPr="008E33DF">
        <w:rPr>
          <w:rFonts w:cs="Helvetica"/>
          <w:szCs w:val="20"/>
        </w:rPr>
        <w:t xml:space="preserve"> dat het enkel vermelden van</w:t>
      </w:r>
      <w:r w:rsidR="00EF38B6" w:rsidRPr="008E33DF">
        <w:rPr>
          <w:rFonts w:cs="Helvetica"/>
          <w:szCs w:val="20"/>
        </w:rPr>
        <w:t xml:space="preserve"> dat de huurovereenkomst is aangegaan voor korte duur op zichzelf onvoldoende is. De overeenkomst dient duidelijke</w:t>
      </w:r>
      <w:r w:rsidR="0063706A" w:rsidRPr="008E33DF">
        <w:rPr>
          <w:rFonts w:cs="Helvetica"/>
          <w:szCs w:val="20"/>
        </w:rPr>
        <w:t>re</w:t>
      </w:r>
      <w:r w:rsidR="00EF38B6" w:rsidRPr="008E33DF">
        <w:rPr>
          <w:rFonts w:cs="Helvetica"/>
          <w:szCs w:val="20"/>
        </w:rPr>
        <w:t xml:space="preserve"> aanwijzingen te bevatten.</w:t>
      </w:r>
    </w:p>
    <w:p w:rsidR="00EF38B6" w:rsidRPr="008E33DF" w:rsidRDefault="00EF38B6" w:rsidP="00881B29">
      <w:pPr>
        <w:rPr>
          <w:rFonts w:cs="Helvetica"/>
          <w:szCs w:val="20"/>
        </w:rPr>
      </w:pPr>
    </w:p>
    <w:p w:rsidR="00EF38B6" w:rsidRPr="008E33DF" w:rsidRDefault="00EF38B6" w:rsidP="00881B29">
      <w:pPr>
        <w:rPr>
          <w:rFonts w:cs="Helvetica"/>
          <w:i/>
          <w:szCs w:val="20"/>
        </w:rPr>
      </w:pPr>
      <w:r w:rsidRPr="008E33DF">
        <w:rPr>
          <w:rFonts w:cs="Helvetica"/>
          <w:szCs w:val="20"/>
        </w:rPr>
        <w:t xml:space="preserve">Voorts kan een </w:t>
      </w:r>
      <w:r w:rsidRPr="008E33DF">
        <w:rPr>
          <w:rFonts w:cs="Helvetica"/>
          <w:b/>
          <w:szCs w:val="20"/>
        </w:rPr>
        <w:t>beoogde verkoop, renovatie of</w:t>
      </w:r>
      <w:r w:rsidR="0063706A" w:rsidRPr="008E33DF">
        <w:rPr>
          <w:rFonts w:cs="Helvetica"/>
          <w:b/>
          <w:szCs w:val="20"/>
        </w:rPr>
        <w:t xml:space="preserve"> </w:t>
      </w:r>
      <w:r w:rsidRPr="008E33DF">
        <w:rPr>
          <w:rFonts w:cs="Helvetica"/>
          <w:b/>
          <w:szCs w:val="20"/>
        </w:rPr>
        <w:t>sloop</w:t>
      </w:r>
      <w:r w:rsidRPr="008E33DF">
        <w:rPr>
          <w:rFonts w:cs="Helvetica"/>
          <w:szCs w:val="20"/>
        </w:rPr>
        <w:t xml:space="preserve"> ook een aanwijzing zijn </w:t>
      </w:r>
      <w:r w:rsidR="005F75C0" w:rsidRPr="008E33DF">
        <w:rPr>
          <w:rFonts w:cs="Helvetica"/>
          <w:szCs w:val="20"/>
        </w:rPr>
        <w:t>voor de rechter dat</w:t>
      </w:r>
      <w:r w:rsidR="0063706A" w:rsidRPr="008E33DF">
        <w:rPr>
          <w:rFonts w:cs="Helvetica"/>
          <w:szCs w:val="20"/>
        </w:rPr>
        <w:t xml:space="preserve"> het bij het sluiten van de huurovereenkomst</w:t>
      </w:r>
      <w:r w:rsidR="005F75C0" w:rsidRPr="008E33DF">
        <w:rPr>
          <w:rFonts w:cs="Helvetica"/>
          <w:szCs w:val="20"/>
        </w:rPr>
        <w:t xml:space="preserve"> d</w:t>
      </w:r>
      <w:r w:rsidR="002437D1" w:rsidRPr="008E33DF">
        <w:rPr>
          <w:rFonts w:cs="Helvetica"/>
          <w:szCs w:val="20"/>
        </w:rPr>
        <w:t>e bedoeling</w:t>
      </w:r>
      <w:r w:rsidR="0063706A" w:rsidRPr="008E33DF">
        <w:rPr>
          <w:rFonts w:cs="Helvetica"/>
          <w:szCs w:val="20"/>
        </w:rPr>
        <w:t xml:space="preserve"> was</w:t>
      </w:r>
      <w:r w:rsidR="002437D1" w:rsidRPr="008E33DF">
        <w:rPr>
          <w:rFonts w:cs="Helvetica"/>
          <w:szCs w:val="20"/>
        </w:rPr>
        <w:t xml:space="preserve"> van partijen </w:t>
      </w:r>
      <w:r w:rsidR="0063706A" w:rsidRPr="008E33DF">
        <w:rPr>
          <w:rFonts w:cs="Helvetica"/>
          <w:szCs w:val="20"/>
        </w:rPr>
        <w:t>dat de h</w:t>
      </w:r>
      <w:r w:rsidR="002437D1" w:rsidRPr="008E33DF">
        <w:rPr>
          <w:rFonts w:cs="Helvetica"/>
          <w:szCs w:val="20"/>
        </w:rPr>
        <w:t>uur voor korte duur was</w:t>
      </w:r>
      <w:r w:rsidR="005F75C0" w:rsidRPr="008E33DF">
        <w:rPr>
          <w:rFonts w:cs="Helvetica"/>
          <w:szCs w:val="20"/>
        </w:rPr>
        <w:t xml:space="preserve">. Deze beoogde verkoop, renovatie of sloop dient de verhuurder wel duidelijk te hebben overgebracht </w:t>
      </w:r>
      <w:r w:rsidR="0063706A" w:rsidRPr="008E33DF">
        <w:rPr>
          <w:rFonts w:cs="Helvetica"/>
          <w:szCs w:val="20"/>
        </w:rPr>
        <w:t>op</w:t>
      </w:r>
      <w:r w:rsidR="005F75C0" w:rsidRPr="008E33DF">
        <w:rPr>
          <w:rFonts w:cs="Helvetica"/>
          <w:szCs w:val="20"/>
        </w:rPr>
        <w:t xml:space="preserve"> de huurder. In de uitspraak van Rb. Haarlem van 17 november 2011 is dit bijvoorbeeld niet </w:t>
      </w:r>
      <w:r w:rsidR="002437D1" w:rsidRPr="008E33DF">
        <w:rPr>
          <w:rFonts w:cs="Helvetica"/>
          <w:szCs w:val="20"/>
        </w:rPr>
        <w:t>het geval. De rechter oordeelt</w:t>
      </w:r>
      <w:r w:rsidR="005F75C0" w:rsidRPr="008E33DF">
        <w:rPr>
          <w:rFonts w:cs="Helvetica"/>
          <w:szCs w:val="20"/>
        </w:rPr>
        <w:t xml:space="preserve"> als volgt: </w:t>
      </w:r>
      <w:r w:rsidR="008E33DF">
        <w:rPr>
          <w:rFonts w:cs="Helvetica"/>
          <w:i/>
          <w:szCs w:val="20"/>
        </w:rPr>
        <w:t>"</w:t>
      </w:r>
      <w:r w:rsidR="005F75C0" w:rsidRPr="008E33DF">
        <w:rPr>
          <w:rFonts w:cs="Helvetica"/>
          <w:i/>
          <w:szCs w:val="20"/>
        </w:rPr>
        <w:t>Verhuurder heeft onvoldoende aangetoond dat hij huurder al bij het begin van de verhuring heeft meegedeeld dat de woning in juni 2011 ingrijpend zou moeten gaan worden verbouwd en geheel gerenoveerd. Dat staat niet alleen niet in het contract en niet in de "huuropzegging" van 25 maart 2011, maar ook ter zitting is niets gebleken van een reeds gesloten aannemingsovereenkomst, tekeningen, berekeningen, bouwvergunning en dergelijke stukken.</w:t>
      </w:r>
      <w:r w:rsidR="008E33DF">
        <w:rPr>
          <w:rFonts w:cs="Helvetica"/>
          <w:i/>
          <w:szCs w:val="20"/>
        </w:rPr>
        <w:t>"</w:t>
      </w:r>
      <w:r w:rsidR="005F75C0" w:rsidRPr="008E33DF">
        <w:rPr>
          <w:rStyle w:val="Voetnootmarkering"/>
          <w:rFonts w:cs="Helvetica"/>
          <w:i/>
          <w:szCs w:val="20"/>
        </w:rPr>
        <w:footnoteReference w:id="53"/>
      </w:r>
    </w:p>
    <w:p w:rsidR="005F75C0" w:rsidRPr="008E33DF" w:rsidRDefault="005F75C0" w:rsidP="00881B29">
      <w:pPr>
        <w:rPr>
          <w:rFonts w:cs="Helvetica"/>
          <w:i/>
          <w:szCs w:val="20"/>
        </w:rPr>
      </w:pPr>
    </w:p>
    <w:p w:rsidR="005F75C0" w:rsidRPr="008E33DF" w:rsidRDefault="0063706A" w:rsidP="00040133">
      <w:pPr>
        <w:rPr>
          <w:rFonts w:cs="Helvetica"/>
          <w:szCs w:val="20"/>
        </w:rPr>
      </w:pPr>
      <w:r w:rsidRPr="008E33DF">
        <w:rPr>
          <w:rFonts w:cs="Helvetica"/>
          <w:szCs w:val="20"/>
        </w:rPr>
        <w:t>Ten slotte kunnen</w:t>
      </w:r>
      <w:r w:rsidR="005F75C0" w:rsidRPr="008E33DF">
        <w:rPr>
          <w:rFonts w:cs="Helvetica"/>
          <w:szCs w:val="20"/>
        </w:rPr>
        <w:t xml:space="preserve"> de bedoelingen van partijen uiteraard blijken uit de </w:t>
      </w:r>
      <w:r w:rsidR="005F75C0" w:rsidRPr="008E33DF">
        <w:rPr>
          <w:rFonts w:cs="Helvetica"/>
          <w:b/>
          <w:szCs w:val="20"/>
        </w:rPr>
        <w:t>verklaringen van partijen</w:t>
      </w:r>
      <w:r w:rsidR="005F75C0" w:rsidRPr="008E33DF">
        <w:rPr>
          <w:rFonts w:cs="Helvetica"/>
          <w:szCs w:val="20"/>
        </w:rPr>
        <w:t>.</w:t>
      </w:r>
      <w:r w:rsidR="00040133" w:rsidRPr="008E33DF">
        <w:rPr>
          <w:rFonts w:cs="Helvetica"/>
          <w:szCs w:val="20"/>
        </w:rPr>
        <w:t xml:space="preserve"> In de uitspraak van R</w:t>
      </w:r>
      <w:r w:rsidR="002437D1" w:rsidRPr="008E33DF">
        <w:rPr>
          <w:rFonts w:cs="Helvetica"/>
          <w:szCs w:val="20"/>
        </w:rPr>
        <w:t>b</w:t>
      </w:r>
      <w:r w:rsidR="00040133" w:rsidRPr="008E33DF">
        <w:rPr>
          <w:rFonts w:cs="Helvetica"/>
          <w:szCs w:val="20"/>
        </w:rPr>
        <w:t>. Rotterdam van 14 maart 2014 heeft de verhuurder tijdens mondelinge behandeling verklaard dat voorafgaand aan het sluiten van de huurovereenkomst niet is gesproken over de huurovereenkomst. Ook is de reden niet besproken waarom de huurover</w:t>
      </w:r>
      <w:r w:rsidRPr="008E33DF">
        <w:rPr>
          <w:rFonts w:cs="Helvetica"/>
          <w:szCs w:val="20"/>
        </w:rPr>
        <w:t>eenkomst wordt aangegaan voor twaalf</w:t>
      </w:r>
      <w:r w:rsidR="00040133" w:rsidRPr="008E33DF">
        <w:rPr>
          <w:rFonts w:cs="Helvetica"/>
          <w:szCs w:val="20"/>
        </w:rPr>
        <w:t xml:space="preserve"> maanden. De </w:t>
      </w:r>
      <w:r w:rsidRPr="008E33DF">
        <w:rPr>
          <w:rFonts w:cs="Helvetica"/>
          <w:szCs w:val="20"/>
        </w:rPr>
        <w:t>ver</w:t>
      </w:r>
      <w:r w:rsidR="00040133" w:rsidRPr="008E33DF">
        <w:rPr>
          <w:rFonts w:cs="Helvetica"/>
          <w:szCs w:val="20"/>
        </w:rPr>
        <w:t>huurder geeft als enkele verklaring dat</w:t>
      </w:r>
      <w:r w:rsidR="002437D1" w:rsidRPr="008E33DF">
        <w:rPr>
          <w:rFonts w:cs="Helvetica"/>
          <w:szCs w:val="20"/>
        </w:rPr>
        <w:t xml:space="preserve"> hij niet langere tijd vast wil</w:t>
      </w:r>
      <w:r w:rsidR="00040133" w:rsidRPr="008E33DF">
        <w:rPr>
          <w:rFonts w:cs="Helvetica"/>
          <w:szCs w:val="20"/>
        </w:rPr>
        <w:t xml:space="preserve"> zitten aan </w:t>
      </w:r>
      <w:r w:rsidRPr="008E33DF">
        <w:rPr>
          <w:rFonts w:cs="Helvetica"/>
          <w:szCs w:val="20"/>
        </w:rPr>
        <w:t>een huurder. Hiertegenover staan</w:t>
      </w:r>
      <w:r w:rsidR="00040133" w:rsidRPr="008E33DF">
        <w:rPr>
          <w:rFonts w:cs="Helvetica"/>
          <w:szCs w:val="20"/>
        </w:rPr>
        <w:t xml:space="preserve"> de verklaringen van de huurder. De</w:t>
      </w:r>
      <w:r w:rsidRPr="008E33DF">
        <w:rPr>
          <w:rFonts w:cs="Helvetica"/>
          <w:szCs w:val="20"/>
        </w:rPr>
        <w:t>ze</w:t>
      </w:r>
      <w:r w:rsidR="00040133" w:rsidRPr="008E33DF">
        <w:rPr>
          <w:rFonts w:cs="Helvetica"/>
          <w:szCs w:val="20"/>
        </w:rPr>
        <w:t xml:space="preserve"> heeft tijdens de </w:t>
      </w:r>
      <w:r w:rsidR="00E4146E" w:rsidRPr="008E33DF">
        <w:rPr>
          <w:rFonts w:cs="Helvetica"/>
          <w:szCs w:val="20"/>
        </w:rPr>
        <w:t>mondelinge behandeling verklaard</w:t>
      </w:r>
      <w:r w:rsidR="00040133" w:rsidRPr="008E33DF">
        <w:rPr>
          <w:rFonts w:cs="Helvetica"/>
          <w:szCs w:val="20"/>
        </w:rPr>
        <w:t xml:space="preserve"> dat </w:t>
      </w:r>
      <w:r w:rsidRPr="008E33DF">
        <w:rPr>
          <w:rFonts w:cs="Helvetica"/>
          <w:szCs w:val="20"/>
        </w:rPr>
        <w:t>hij</w:t>
      </w:r>
      <w:r w:rsidR="00040133" w:rsidRPr="008E33DF">
        <w:rPr>
          <w:rFonts w:cs="Helvetica"/>
          <w:szCs w:val="20"/>
        </w:rPr>
        <w:t xml:space="preserve"> met de verhuurder heeft afgesproken dat </w:t>
      </w:r>
      <w:r w:rsidR="002437D1" w:rsidRPr="008E33DF">
        <w:rPr>
          <w:rFonts w:cs="Helvetica"/>
          <w:szCs w:val="20"/>
        </w:rPr>
        <w:t>de huurovereenkomst na een jaar</w:t>
      </w:r>
      <w:r w:rsidR="00040133" w:rsidRPr="008E33DF">
        <w:rPr>
          <w:rFonts w:cs="Helvetica"/>
          <w:szCs w:val="20"/>
        </w:rPr>
        <w:t xml:space="preserve"> steeds met één maand verlengd zal worden. De inhoud v</w:t>
      </w:r>
      <w:r w:rsidRPr="008E33DF">
        <w:rPr>
          <w:rFonts w:cs="Helvetica"/>
          <w:szCs w:val="20"/>
        </w:rPr>
        <w:t xml:space="preserve">an deze verklaringen geeft er geen </w:t>
      </w:r>
      <w:r w:rsidR="00040133" w:rsidRPr="008E33DF">
        <w:rPr>
          <w:rFonts w:cs="Helvetica"/>
          <w:szCs w:val="20"/>
        </w:rPr>
        <w:t>blijk</w:t>
      </w:r>
      <w:r w:rsidRPr="008E33DF">
        <w:rPr>
          <w:rFonts w:cs="Helvetica"/>
          <w:szCs w:val="20"/>
        </w:rPr>
        <w:t xml:space="preserve"> van</w:t>
      </w:r>
      <w:r w:rsidR="00040133" w:rsidRPr="008E33DF">
        <w:rPr>
          <w:rFonts w:cs="Helvetica"/>
          <w:szCs w:val="20"/>
        </w:rPr>
        <w:t xml:space="preserve"> dat het hier</w:t>
      </w:r>
      <w:r w:rsidR="00127094" w:rsidRPr="008E33DF">
        <w:rPr>
          <w:rFonts w:cs="Helvetica"/>
          <w:szCs w:val="20"/>
        </w:rPr>
        <w:t xml:space="preserve"> gaat om een huurovereenkomst die</w:t>
      </w:r>
      <w:r w:rsidR="00040133" w:rsidRPr="008E33DF">
        <w:rPr>
          <w:rFonts w:cs="Helvetica"/>
          <w:szCs w:val="20"/>
        </w:rPr>
        <w:t xml:space="preserve"> naar zijn aard van korte duur is.</w:t>
      </w:r>
      <w:r w:rsidR="00040133" w:rsidRPr="008E33DF">
        <w:rPr>
          <w:rStyle w:val="Voetnootmarkering"/>
          <w:rFonts w:cs="Helvetica"/>
          <w:szCs w:val="20"/>
        </w:rPr>
        <w:footnoteReference w:id="54"/>
      </w:r>
    </w:p>
    <w:p w:rsidR="00040133" w:rsidRPr="008E33DF" w:rsidRDefault="00040133" w:rsidP="00040133">
      <w:pPr>
        <w:rPr>
          <w:rFonts w:cs="Helvetica"/>
          <w:b/>
          <w:color w:val="8DB3E2" w:themeColor="text2" w:themeTint="66"/>
          <w:szCs w:val="20"/>
        </w:rPr>
      </w:pPr>
    </w:p>
    <w:p w:rsidR="00B01AB1" w:rsidRPr="008E33DF" w:rsidRDefault="0063706A" w:rsidP="00040133">
      <w:pPr>
        <w:rPr>
          <w:rFonts w:cs="Helvetica"/>
          <w:szCs w:val="20"/>
        </w:rPr>
      </w:pPr>
      <w:r w:rsidRPr="008E33DF">
        <w:rPr>
          <w:rFonts w:cs="Helvetica"/>
          <w:szCs w:val="20"/>
        </w:rPr>
        <w:t>In vijf</w:t>
      </w:r>
      <w:r w:rsidR="00793873" w:rsidRPr="008E33DF">
        <w:rPr>
          <w:rFonts w:cs="Helvetica"/>
          <w:szCs w:val="20"/>
        </w:rPr>
        <w:t xml:space="preserve"> uitspraken </w:t>
      </w:r>
      <w:r w:rsidRPr="008E33DF">
        <w:rPr>
          <w:rFonts w:cs="Helvetica"/>
          <w:szCs w:val="20"/>
        </w:rPr>
        <w:t>uit t</w:t>
      </w:r>
      <w:r w:rsidR="00127094" w:rsidRPr="008E33DF">
        <w:rPr>
          <w:rFonts w:cs="Helvetica"/>
          <w:szCs w:val="20"/>
        </w:rPr>
        <w:t>abel 7</w:t>
      </w:r>
      <w:r w:rsidR="00793873" w:rsidRPr="008E33DF">
        <w:rPr>
          <w:rFonts w:cs="Helvetica"/>
          <w:szCs w:val="20"/>
        </w:rPr>
        <w:t xml:space="preserve"> heeft de rechter </w:t>
      </w:r>
      <w:r w:rsidRPr="008E33DF">
        <w:rPr>
          <w:rFonts w:cs="Helvetica"/>
          <w:szCs w:val="20"/>
        </w:rPr>
        <w:t>g</w:t>
      </w:r>
      <w:r w:rsidR="00793873" w:rsidRPr="008E33DF">
        <w:rPr>
          <w:rFonts w:cs="Helvetica"/>
          <w:szCs w:val="20"/>
        </w:rPr>
        <w:t>eoordeeld dat</w:t>
      </w:r>
      <w:r w:rsidR="0088187F" w:rsidRPr="008E33DF">
        <w:rPr>
          <w:rFonts w:cs="Helvetica"/>
          <w:szCs w:val="20"/>
        </w:rPr>
        <w:t xml:space="preserve"> </w:t>
      </w:r>
      <w:r w:rsidRPr="008E33DF">
        <w:rPr>
          <w:rFonts w:cs="Helvetica"/>
          <w:szCs w:val="20"/>
        </w:rPr>
        <w:t xml:space="preserve">het </w:t>
      </w:r>
      <w:r w:rsidR="0088187F" w:rsidRPr="008E33DF">
        <w:rPr>
          <w:rFonts w:cs="Helvetica"/>
          <w:szCs w:val="20"/>
        </w:rPr>
        <w:t>naar de bedoelingen van partijen aannemelijk is</w:t>
      </w:r>
      <w:r w:rsidRPr="008E33DF">
        <w:rPr>
          <w:rFonts w:cs="Helvetica"/>
          <w:szCs w:val="20"/>
        </w:rPr>
        <w:t>,</w:t>
      </w:r>
      <w:r w:rsidR="0088187F" w:rsidRPr="008E33DF">
        <w:rPr>
          <w:rFonts w:cs="Helvetica"/>
          <w:szCs w:val="20"/>
        </w:rPr>
        <w:t xml:space="preserve"> dat de huurovereenkomst gekwalificeerd kan wor</w:t>
      </w:r>
      <w:r w:rsidR="00446821" w:rsidRPr="008E33DF">
        <w:rPr>
          <w:rFonts w:cs="Helvetica"/>
          <w:szCs w:val="20"/>
        </w:rPr>
        <w:t>den als een huurovereenkomst die</w:t>
      </w:r>
      <w:r w:rsidR="0088187F" w:rsidRPr="008E33DF">
        <w:rPr>
          <w:rFonts w:cs="Helvetica"/>
          <w:szCs w:val="20"/>
        </w:rPr>
        <w:t xml:space="preserve"> naar zijn aard van ko</w:t>
      </w:r>
      <w:r w:rsidRPr="008E33DF">
        <w:rPr>
          <w:rFonts w:cs="Helvetica"/>
          <w:szCs w:val="20"/>
        </w:rPr>
        <w:t>rte duur is. Echter,</w:t>
      </w:r>
      <w:r w:rsidR="0088187F" w:rsidRPr="008E33DF">
        <w:rPr>
          <w:rFonts w:cs="Helvetica"/>
          <w:szCs w:val="20"/>
        </w:rPr>
        <w:t xml:space="preserve"> op grond van andere factoren</w:t>
      </w:r>
      <w:r w:rsidRPr="008E33DF">
        <w:rPr>
          <w:rFonts w:cs="Helvetica"/>
          <w:szCs w:val="20"/>
        </w:rPr>
        <w:t xml:space="preserve"> is</w:t>
      </w:r>
      <w:r w:rsidR="0088187F" w:rsidRPr="008E33DF">
        <w:rPr>
          <w:rFonts w:cs="Helvetica"/>
          <w:szCs w:val="20"/>
        </w:rPr>
        <w:t xml:space="preserve"> beroep op art. 7:232 lid 2</w:t>
      </w:r>
      <w:r w:rsidRPr="008E33DF">
        <w:rPr>
          <w:rFonts w:cs="Helvetica"/>
          <w:szCs w:val="20"/>
        </w:rPr>
        <w:t xml:space="preserve"> BW vooralsnog</w:t>
      </w:r>
      <w:r w:rsidR="0088187F" w:rsidRPr="008E33DF">
        <w:rPr>
          <w:rFonts w:cs="Helvetica"/>
          <w:szCs w:val="20"/>
        </w:rPr>
        <w:t xml:space="preserve"> afgewezen</w:t>
      </w:r>
      <w:r w:rsidRPr="008E33DF">
        <w:rPr>
          <w:rFonts w:cs="Helvetica"/>
          <w:szCs w:val="20"/>
        </w:rPr>
        <w:t xml:space="preserve"> </w:t>
      </w:r>
      <w:r w:rsidR="00846B5D" w:rsidRPr="008E33DF">
        <w:rPr>
          <w:rFonts w:cs="Helvetica"/>
          <w:szCs w:val="20"/>
        </w:rPr>
        <w:t>(zie tabel 1)</w:t>
      </w:r>
      <w:r w:rsidR="0088187F" w:rsidRPr="008E33DF">
        <w:rPr>
          <w:rFonts w:cs="Helvetica"/>
          <w:szCs w:val="20"/>
        </w:rPr>
        <w:t xml:space="preserve">. In één van de </w:t>
      </w:r>
      <w:r w:rsidR="00B01AB1" w:rsidRPr="008E33DF">
        <w:rPr>
          <w:rFonts w:cs="Helvetica"/>
          <w:szCs w:val="20"/>
        </w:rPr>
        <w:t>uitspraken</w:t>
      </w:r>
      <w:r w:rsidR="0088187F" w:rsidRPr="008E33DF">
        <w:rPr>
          <w:rFonts w:cs="Helvetica"/>
          <w:szCs w:val="20"/>
        </w:rPr>
        <w:t xml:space="preserve"> is het beroep afgewezen op grond van de mogelijkheid van een andere regeling in de wet (aard van de woning), in een andere </w:t>
      </w:r>
      <w:r w:rsidR="00B01AB1" w:rsidRPr="008E33DF">
        <w:rPr>
          <w:rFonts w:cs="Helvetica"/>
          <w:szCs w:val="20"/>
        </w:rPr>
        <w:t>uitspraak</w:t>
      </w:r>
      <w:r w:rsidR="0088187F" w:rsidRPr="008E33DF">
        <w:rPr>
          <w:rFonts w:cs="Helvetica"/>
          <w:szCs w:val="20"/>
        </w:rPr>
        <w:t xml:space="preserve"> is het beroep afgewezen op grond van het feit dat de woonruimte wordt gebruikt als hoofdbewoning (aard van het gebruik) en in de overige drie uitspraken wordt het beroep afgewezen op grond van verlenging van de huur (duur van het gebruik).</w:t>
      </w:r>
      <w:r w:rsidR="00EC62F2" w:rsidRPr="008E33DF">
        <w:rPr>
          <w:rStyle w:val="Voetnootmarkering"/>
          <w:rFonts w:cs="Helvetica"/>
          <w:szCs w:val="20"/>
        </w:rPr>
        <w:footnoteReference w:id="55"/>
      </w:r>
      <w:r w:rsidR="0088187F" w:rsidRPr="008E33DF">
        <w:rPr>
          <w:rFonts w:cs="Helvetica"/>
          <w:szCs w:val="20"/>
        </w:rPr>
        <w:t xml:space="preserve"> Hieruit valt te concluderen dat de bedoelingen van </w:t>
      </w:r>
      <w:r w:rsidR="00B01AB1" w:rsidRPr="008E33DF">
        <w:rPr>
          <w:rFonts w:cs="Helvetica"/>
          <w:szCs w:val="20"/>
        </w:rPr>
        <w:lastRenderedPageBreak/>
        <w:t>partijen g</w:t>
      </w:r>
      <w:r w:rsidR="0088187F" w:rsidRPr="008E33DF">
        <w:rPr>
          <w:rFonts w:cs="Helvetica"/>
          <w:szCs w:val="20"/>
        </w:rPr>
        <w:t>een doorslaggevende factor is in de beoordeling van de rechter</w:t>
      </w:r>
      <w:r w:rsidR="00127094" w:rsidRPr="008E33DF">
        <w:rPr>
          <w:rFonts w:cs="Helvetica"/>
          <w:szCs w:val="20"/>
        </w:rPr>
        <w:t xml:space="preserve"> ten opzichte van de andere beoordelingsfactoren</w:t>
      </w:r>
      <w:r w:rsidR="00B01AB1" w:rsidRPr="008E33DF">
        <w:rPr>
          <w:rFonts w:cs="Helvetica"/>
          <w:szCs w:val="20"/>
        </w:rPr>
        <w:t xml:space="preserve"> bij de afgewezen uitspraken</w:t>
      </w:r>
      <w:r w:rsidR="00E51BED" w:rsidRPr="008E33DF">
        <w:rPr>
          <w:rFonts w:cs="Helvetica"/>
          <w:szCs w:val="20"/>
        </w:rPr>
        <w:t>.</w:t>
      </w:r>
    </w:p>
    <w:p w:rsidR="00127094" w:rsidRPr="008E33DF" w:rsidRDefault="00127094" w:rsidP="00040133">
      <w:pPr>
        <w:rPr>
          <w:rFonts w:cs="Helvetica"/>
          <w:szCs w:val="20"/>
        </w:rPr>
      </w:pPr>
    </w:p>
    <w:p w:rsidR="00040133" w:rsidRPr="008E33DF" w:rsidRDefault="00D6610A" w:rsidP="0040551B">
      <w:pPr>
        <w:pStyle w:val="Kop3"/>
        <w:rPr>
          <w:rFonts w:cs="Helvetica"/>
          <w:szCs w:val="20"/>
        </w:rPr>
      </w:pPr>
      <w:bookmarkStart w:id="50" w:name="_Toc454253678"/>
      <w:r w:rsidRPr="008E33DF">
        <w:t>5.</w:t>
      </w:r>
      <w:r w:rsidR="00BA7983">
        <w:t>4</w:t>
      </w:r>
      <w:r w:rsidRPr="008E33DF">
        <w:t>.2</w:t>
      </w:r>
      <w:r w:rsidR="003E7D4E">
        <w:t xml:space="preserve"> </w:t>
      </w:r>
      <w:r w:rsidRPr="008E33DF">
        <w:t>Toegewezen</w:t>
      </w:r>
      <w:r w:rsidR="00040133" w:rsidRPr="008E33DF">
        <w:t xml:space="preserve"> uitspraken</w:t>
      </w:r>
      <w:bookmarkEnd w:id="50"/>
    </w:p>
    <w:p w:rsidR="00040133" w:rsidRPr="008E33DF" w:rsidRDefault="00127094" w:rsidP="00127094">
      <w:pPr>
        <w:spacing w:line="240" w:lineRule="auto"/>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color w:val="000000"/>
          <w:sz w:val="16"/>
          <w:szCs w:val="16"/>
          <w:lang w:eastAsia="nl-NL"/>
        </w:rPr>
        <w:t>Tabel 8, bedoelingen van</w:t>
      </w:r>
      <w:r w:rsidR="00040133" w:rsidRPr="008E33DF">
        <w:rPr>
          <w:rFonts w:ascii="Calibri" w:eastAsia="Times New Roman" w:hAnsi="Calibri" w:cs="Times New Roman"/>
          <w:b/>
          <w:bCs/>
          <w:color w:val="000000"/>
          <w:sz w:val="16"/>
          <w:szCs w:val="16"/>
          <w:lang w:eastAsia="nl-NL"/>
        </w:rPr>
        <w:t xml:space="preserve"> partijen</w:t>
      </w:r>
      <w:r w:rsidRPr="008E33DF">
        <w:rPr>
          <w:rFonts w:ascii="Calibri" w:eastAsia="Times New Roman" w:hAnsi="Calibri" w:cs="Times New Roman"/>
          <w:b/>
          <w:bCs/>
          <w:color w:val="000000"/>
          <w:sz w:val="16"/>
          <w:szCs w:val="16"/>
          <w:lang w:eastAsia="nl-NL"/>
        </w:rPr>
        <w:t>, feiten en omstandigheden,</w:t>
      </w:r>
    </w:p>
    <w:p w:rsidR="00040133" w:rsidRPr="008E33DF" w:rsidRDefault="00040133" w:rsidP="00127094">
      <w:pPr>
        <w:spacing w:line="240" w:lineRule="auto"/>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color w:val="000000"/>
          <w:sz w:val="16"/>
          <w:szCs w:val="16"/>
          <w:lang w:eastAsia="nl-NL"/>
        </w:rPr>
        <w:t xml:space="preserve">beroep op art. 7:232 lid 2 </w:t>
      </w:r>
      <w:r w:rsidR="00F26BCD" w:rsidRPr="008E33DF">
        <w:rPr>
          <w:rFonts w:ascii="Calibri" w:eastAsia="Times New Roman" w:hAnsi="Calibri" w:cs="Times New Roman"/>
          <w:b/>
          <w:bCs/>
          <w:color w:val="000000"/>
          <w:sz w:val="16"/>
          <w:szCs w:val="16"/>
          <w:lang w:eastAsia="nl-NL"/>
        </w:rPr>
        <w:t xml:space="preserve">BW </w:t>
      </w:r>
      <w:r w:rsidRPr="008E33DF">
        <w:rPr>
          <w:rFonts w:ascii="Calibri" w:eastAsia="Times New Roman" w:hAnsi="Calibri" w:cs="Times New Roman"/>
          <w:b/>
          <w:bCs/>
          <w:color w:val="000000"/>
          <w:sz w:val="16"/>
          <w:szCs w:val="16"/>
          <w:lang w:eastAsia="nl-NL"/>
        </w:rPr>
        <w:t>wordt toegewezen</w:t>
      </w:r>
      <w:r w:rsidR="00F26BCD" w:rsidRPr="008E33DF">
        <w:rPr>
          <w:rFonts w:ascii="Calibri" w:eastAsia="Times New Roman" w:hAnsi="Calibri" w:cs="Times New Roman"/>
          <w:b/>
          <w:bCs/>
          <w:color w:val="000000"/>
          <w:sz w:val="16"/>
          <w:szCs w:val="16"/>
          <w:lang w:eastAsia="nl-NL"/>
        </w:rPr>
        <w:t xml:space="preserve"> (zie ook bijlage 8</w:t>
      </w:r>
      <w:r w:rsidRPr="008E33DF">
        <w:rPr>
          <w:rFonts w:ascii="Calibri" w:eastAsia="Times New Roman" w:hAnsi="Calibri" w:cs="Times New Roman"/>
          <w:b/>
          <w:bCs/>
          <w:color w:val="000000"/>
          <w:sz w:val="16"/>
          <w:szCs w:val="16"/>
          <w:lang w:eastAsia="nl-NL"/>
        </w:rPr>
        <w:t>).</w:t>
      </w:r>
    </w:p>
    <w:tbl>
      <w:tblPr>
        <w:tblStyle w:val="Lichtraster1"/>
        <w:tblW w:w="0" w:type="auto"/>
        <w:tblInd w:w="108" w:type="dxa"/>
        <w:tblLayout w:type="fixed"/>
        <w:tblLook w:val="04A0"/>
      </w:tblPr>
      <w:tblGrid>
        <w:gridCol w:w="817"/>
        <w:gridCol w:w="340"/>
        <w:gridCol w:w="340"/>
        <w:gridCol w:w="340"/>
        <w:gridCol w:w="340"/>
        <w:gridCol w:w="340"/>
        <w:gridCol w:w="340"/>
        <w:gridCol w:w="340"/>
        <w:gridCol w:w="340"/>
        <w:gridCol w:w="540"/>
      </w:tblGrid>
      <w:tr w:rsidR="00040133" w:rsidRPr="008E33DF" w:rsidTr="00040133">
        <w:trPr>
          <w:cnfStyle w:val="100000000000"/>
        </w:trPr>
        <w:tc>
          <w:tcPr>
            <w:cnfStyle w:val="001000000000"/>
            <w:tcW w:w="4077" w:type="dxa"/>
            <w:gridSpan w:val="10"/>
          </w:tcPr>
          <w:p w:rsidR="00040133" w:rsidRPr="008E33DF" w:rsidRDefault="00E51BED" w:rsidP="00040133">
            <w:pPr>
              <w:jc w:val="center"/>
              <w:rPr>
                <w:rFonts w:ascii="Calibri" w:eastAsia="Times New Roman" w:hAnsi="Calibri" w:cs="Times New Roman"/>
                <w:bCs w:val="0"/>
                <w:color w:val="000000"/>
                <w:szCs w:val="20"/>
                <w:lang w:eastAsia="nl-NL"/>
              </w:rPr>
            </w:pPr>
            <w:r w:rsidRPr="008E33DF">
              <w:rPr>
                <w:rFonts w:ascii="Calibri" w:eastAsia="Times New Roman" w:hAnsi="Calibri" w:cs="Times New Roman"/>
                <w:noProof/>
                <w:color w:val="000000"/>
                <w:szCs w:val="20"/>
                <w:lang w:eastAsia="nl-NL"/>
              </w:rPr>
              <w:drawing>
                <wp:anchor distT="0" distB="0" distL="114300" distR="114300" simplePos="0" relativeHeight="251688960" behindDoc="0" locked="0" layoutInCell="1" allowOverlap="1">
                  <wp:simplePos x="0" y="0"/>
                  <wp:positionH relativeFrom="column">
                    <wp:posOffset>2603500</wp:posOffset>
                  </wp:positionH>
                  <wp:positionV relativeFrom="paragraph">
                    <wp:posOffset>67945</wp:posOffset>
                  </wp:positionV>
                  <wp:extent cx="3429000" cy="3276600"/>
                  <wp:effectExtent l="19050" t="0" r="19050" b="0"/>
                  <wp:wrapNone/>
                  <wp:docPr id="1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040133" w:rsidRPr="008E33DF">
              <w:rPr>
                <w:rFonts w:ascii="Calibri" w:eastAsia="Times New Roman" w:hAnsi="Calibri" w:cs="Times New Roman"/>
                <w:bCs w:val="0"/>
                <w:color w:val="000000"/>
                <w:szCs w:val="20"/>
                <w:lang w:eastAsia="nl-NL"/>
              </w:rPr>
              <w:t>Categorieën</w:t>
            </w:r>
          </w:p>
        </w:tc>
      </w:tr>
      <w:tr w:rsidR="00040133" w:rsidRPr="008E33DF" w:rsidTr="00040133">
        <w:trPr>
          <w:cnfStyle w:val="000000100000"/>
        </w:trPr>
        <w:tc>
          <w:tcPr>
            <w:cnfStyle w:val="001000000000"/>
            <w:tcW w:w="817" w:type="dxa"/>
            <w:tcBorders>
              <w:bottom w:val="single" w:sz="18" w:space="0" w:color="000000" w:themeColor="text1"/>
            </w:tcBorders>
            <w:shd w:val="clear" w:color="auto" w:fill="auto"/>
            <w:vAlign w:val="bottom"/>
          </w:tcPr>
          <w:p w:rsidR="00040133" w:rsidRPr="008E33DF" w:rsidRDefault="00040133" w:rsidP="00F26BCD">
            <w:pPr>
              <w:spacing w:line="240" w:lineRule="auto"/>
              <w:jc w:val="center"/>
              <w:rPr>
                <w:rFonts w:asciiTheme="minorHAnsi" w:eastAsia="Times New Roman" w:hAnsiTheme="minorHAnsi" w:cs="Times New Roman"/>
                <w:sz w:val="12"/>
                <w:szCs w:val="12"/>
                <w:lang w:eastAsia="nl-NL"/>
              </w:rPr>
            </w:pPr>
            <w:r w:rsidRPr="008E33DF">
              <w:rPr>
                <w:rFonts w:asciiTheme="minorHAnsi" w:eastAsia="Times New Roman" w:hAnsiTheme="minorHAnsi" w:cs="Times New Roman"/>
                <w:sz w:val="12"/>
                <w:szCs w:val="12"/>
                <w:lang w:eastAsia="nl-NL"/>
              </w:rPr>
              <w:t>Nummers uitspraken</w:t>
            </w:r>
          </w:p>
        </w:tc>
        <w:tc>
          <w:tcPr>
            <w:tcW w:w="340" w:type="dxa"/>
            <w:tcBorders>
              <w:bottom w:val="single" w:sz="18" w:space="0" w:color="000000" w:themeColor="text1"/>
            </w:tcBorders>
            <w:shd w:val="clear" w:color="auto" w:fill="17365D" w:themeFill="text2" w:themeFillShade="BF"/>
            <w:vAlign w:val="center"/>
          </w:tcPr>
          <w:p w:rsidR="00040133" w:rsidRPr="008E33DF" w:rsidRDefault="00040133" w:rsidP="00F26BCD">
            <w:pPr>
              <w:spacing w:line="240" w:lineRule="auto"/>
              <w:jc w:val="center"/>
              <w:cnfStyle w:val="000000100000"/>
              <w:rPr>
                <w:rFonts w:asciiTheme="minorHAnsi" w:eastAsia="Times New Roman" w:hAnsiTheme="minorHAnsi" w:cs="Times New Roman"/>
                <w:color w:val="0F253F"/>
                <w:sz w:val="12"/>
                <w:szCs w:val="12"/>
                <w:lang w:eastAsia="nl-NL"/>
              </w:rPr>
            </w:pPr>
          </w:p>
        </w:tc>
        <w:tc>
          <w:tcPr>
            <w:tcW w:w="340" w:type="dxa"/>
            <w:tcBorders>
              <w:bottom w:val="single" w:sz="18" w:space="0" w:color="000000" w:themeColor="text1"/>
            </w:tcBorders>
            <w:shd w:val="clear" w:color="auto" w:fill="76923C" w:themeFill="accent3" w:themeFillShade="BF"/>
            <w:vAlign w:val="center"/>
          </w:tcPr>
          <w:p w:rsidR="00040133" w:rsidRPr="008E33DF" w:rsidRDefault="00040133" w:rsidP="00F26BCD">
            <w:pPr>
              <w:spacing w:line="240" w:lineRule="auto"/>
              <w:jc w:val="center"/>
              <w:cnfStyle w:val="000000100000"/>
              <w:rPr>
                <w:rFonts w:asciiTheme="minorHAnsi" w:eastAsia="Times New Roman" w:hAnsiTheme="minorHAnsi" w:cs="Times New Roman"/>
                <w:color w:val="4F6228"/>
                <w:sz w:val="12"/>
                <w:szCs w:val="12"/>
                <w:lang w:eastAsia="nl-NL"/>
              </w:rPr>
            </w:pPr>
          </w:p>
        </w:tc>
        <w:tc>
          <w:tcPr>
            <w:tcW w:w="340" w:type="dxa"/>
            <w:tcBorders>
              <w:bottom w:val="single" w:sz="18" w:space="0" w:color="000000" w:themeColor="text1"/>
            </w:tcBorders>
            <w:shd w:val="clear" w:color="auto" w:fill="943634" w:themeFill="accent2" w:themeFillShade="BF"/>
            <w:vAlign w:val="center"/>
          </w:tcPr>
          <w:p w:rsidR="00040133" w:rsidRPr="008E33DF" w:rsidRDefault="00040133" w:rsidP="00F26BCD">
            <w:pPr>
              <w:spacing w:line="240" w:lineRule="auto"/>
              <w:jc w:val="center"/>
              <w:cnfStyle w:val="000000100000"/>
              <w:rPr>
                <w:rFonts w:asciiTheme="minorHAnsi" w:eastAsia="Times New Roman" w:hAnsiTheme="minorHAnsi" w:cs="Times New Roman"/>
                <w:b/>
                <w:color w:val="E36C0A" w:themeColor="accent6" w:themeShade="BF"/>
                <w:sz w:val="12"/>
                <w:szCs w:val="12"/>
                <w:lang w:eastAsia="nl-NL"/>
              </w:rPr>
            </w:pPr>
          </w:p>
        </w:tc>
        <w:tc>
          <w:tcPr>
            <w:tcW w:w="340" w:type="dxa"/>
            <w:tcBorders>
              <w:bottom w:val="single" w:sz="18" w:space="0" w:color="000000" w:themeColor="text1"/>
            </w:tcBorders>
            <w:shd w:val="clear" w:color="auto" w:fill="5F497A" w:themeFill="accent4" w:themeFillShade="BF"/>
            <w:vAlign w:val="center"/>
          </w:tcPr>
          <w:p w:rsidR="00040133" w:rsidRPr="008E33DF" w:rsidRDefault="00040133" w:rsidP="00F26BCD">
            <w:pPr>
              <w:spacing w:line="240" w:lineRule="auto"/>
              <w:jc w:val="center"/>
              <w:cnfStyle w:val="000000100000"/>
              <w:rPr>
                <w:rFonts w:asciiTheme="minorHAnsi" w:eastAsia="Times New Roman" w:hAnsiTheme="minorHAnsi" w:cs="Times New Roman"/>
                <w:color w:val="FF0000"/>
                <w:sz w:val="12"/>
                <w:szCs w:val="12"/>
                <w:lang w:eastAsia="nl-NL"/>
              </w:rPr>
            </w:pPr>
          </w:p>
        </w:tc>
        <w:tc>
          <w:tcPr>
            <w:tcW w:w="340" w:type="dxa"/>
            <w:tcBorders>
              <w:bottom w:val="single" w:sz="18" w:space="0" w:color="000000" w:themeColor="text1"/>
            </w:tcBorders>
            <w:shd w:val="clear" w:color="auto" w:fill="E36C0A" w:themeFill="accent6" w:themeFillShade="BF"/>
            <w:vAlign w:val="center"/>
          </w:tcPr>
          <w:p w:rsidR="00040133" w:rsidRPr="008E33DF" w:rsidRDefault="00040133" w:rsidP="00F26BCD">
            <w:pPr>
              <w:spacing w:line="240" w:lineRule="auto"/>
              <w:jc w:val="center"/>
              <w:cnfStyle w:val="000000100000"/>
              <w:rPr>
                <w:rFonts w:asciiTheme="minorHAnsi" w:eastAsia="Times New Roman" w:hAnsiTheme="minorHAnsi" w:cs="Times New Roman"/>
                <w:color w:val="7030A0"/>
                <w:sz w:val="12"/>
                <w:szCs w:val="12"/>
                <w:lang w:eastAsia="nl-NL"/>
              </w:rPr>
            </w:pPr>
          </w:p>
        </w:tc>
        <w:tc>
          <w:tcPr>
            <w:tcW w:w="340" w:type="dxa"/>
            <w:tcBorders>
              <w:bottom w:val="single" w:sz="18" w:space="0" w:color="000000" w:themeColor="text1"/>
            </w:tcBorders>
            <w:shd w:val="clear" w:color="auto" w:fill="31849B" w:themeFill="accent5" w:themeFillShade="BF"/>
            <w:vAlign w:val="center"/>
          </w:tcPr>
          <w:p w:rsidR="00040133" w:rsidRPr="008E33DF" w:rsidRDefault="00040133" w:rsidP="00F26BCD">
            <w:pPr>
              <w:spacing w:line="240" w:lineRule="auto"/>
              <w:jc w:val="center"/>
              <w:cnfStyle w:val="000000100000"/>
              <w:rPr>
                <w:rFonts w:asciiTheme="minorHAnsi" w:eastAsia="Times New Roman" w:hAnsiTheme="minorHAnsi" w:cs="Times New Roman"/>
                <w:color w:val="7F7F7F"/>
                <w:sz w:val="12"/>
                <w:szCs w:val="12"/>
                <w:lang w:eastAsia="nl-NL"/>
              </w:rPr>
            </w:pPr>
          </w:p>
        </w:tc>
        <w:tc>
          <w:tcPr>
            <w:tcW w:w="340" w:type="dxa"/>
            <w:tcBorders>
              <w:bottom w:val="single" w:sz="18" w:space="0" w:color="000000" w:themeColor="text1"/>
            </w:tcBorders>
            <w:shd w:val="clear" w:color="auto" w:fill="FF0000"/>
          </w:tcPr>
          <w:p w:rsidR="00040133" w:rsidRPr="008E33DF" w:rsidRDefault="00040133" w:rsidP="00F26BCD">
            <w:pPr>
              <w:spacing w:line="240" w:lineRule="auto"/>
              <w:jc w:val="center"/>
              <w:cnfStyle w:val="000000100000"/>
              <w:rPr>
                <w:rFonts w:asciiTheme="minorHAnsi" w:hAnsiTheme="minorHAnsi"/>
                <w:color w:val="31849B" w:themeColor="accent5" w:themeShade="BF"/>
                <w:sz w:val="12"/>
                <w:szCs w:val="12"/>
              </w:rPr>
            </w:pPr>
          </w:p>
        </w:tc>
        <w:tc>
          <w:tcPr>
            <w:tcW w:w="340" w:type="dxa"/>
            <w:tcBorders>
              <w:bottom w:val="single" w:sz="18" w:space="0" w:color="000000" w:themeColor="text1"/>
            </w:tcBorders>
            <w:shd w:val="clear" w:color="auto" w:fill="808080" w:themeFill="background1" w:themeFillShade="80"/>
          </w:tcPr>
          <w:p w:rsidR="00040133" w:rsidRPr="008E33DF" w:rsidRDefault="00040133" w:rsidP="00F26BCD">
            <w:pPr>
              <w:spacing w:line="240" w:lineRule="auto"/>
              <w:jc w:val="center"/>
              <w:cnfStyle w:val="000000100000"/>
              <w:rPr>
                <w:rFonts w:asciiTheme="minorHAnsi" w:hAnsiTheme="minorHAnsi"/>
                <w:color w:val="632423" w:themeColor="accent2" w:themeShade="80"/>
                <w:sz w:val="12"/>
                <w:szCs w:val="12"/>
              </w:rPr>
            </w:pPr>
          </w:p>
        </w:tc>
        <w:tc>
          <w:tcPr>
            <w:tcW w:w="540" w:type="dxa"/>
            <w:tcBorders>
              <w:bottom w:val="single" w:sz="18" w:space="0" w:color="000000" w:themeColor="text1"/>
            </w:tcBorders>
            <w:shd w:val="clear" w:color="auto" w:fill="auto"/>
            <w:vAlign w:val="bottom"/>
          </w:tcPr>
          <w:p w:rsidR="00040133" w:rsidRPr="008E33DF" w:rsidRDefault="00040133" w:rsidP="00F26BCD">
            <w:pPr>
              <w:spacing w:line="240" w:lineRule="auto"/>
              <w:jc w:val="center"/>
              <w:cnfStyle w:val="000000100000"/>
              <w:rPr>
                <w:rFonts w:asciiTheme="minorHAnsi" w:hAnsiTheme="minorHAnsi"/>
                <w:sz w:val="12"/>
                <w:szCs w:val="12"/>
              </w:rPr>
            </w:pPr>
          </w:p>
        </w:tc>
      </w:tr>
      <w:tr w:rsidR="00040133" w:rsidRPr="008E33DF" w:rsidTr="00040133">
        <w:trPr>
          <w:cnfStyle w:val="000000010000"/>
        </w:trPr>
        <w:tc>
          <w:tcPr>
            <w:cnfStyle w:val="001000000000"/>
            <w:tcW w:w="817" w:type="dxa"/>
            <w:tcBorders>
              <w:top w:val="single" w:sz="18" w:space="0" w:color="000000" w:themeColor="text1"/>
              <w:bottom w:val="dotted" w:sz="4" w:space="0" w:color="auto"/>
              <w:right w:val="dotted" w:sz="4" w:space="0" w:color="auto"/>
            </w:tcBorders>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3</w:t>
            </w:r>
          </w:p>
        </w:tc>
        <w:tc>
          <w:tcPr>
            <w:tcW w:w="340" w:type="dxa"/>
            <w:tcBorders>
              <w:top w:val="single" w:sz="18" w:space="0" w:color="000000" w:themeColor="text1"/>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single" w:sz="18" w:space="0" w:color="000000" w:themeColor="text1"/>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540" w:type="dxa"/>
            <w:tcBorders>
              <w:top w:val="single" w:sz="18" w:space="0" w:color="000000" w:themeColor="text1"/>
              <w:left w:val="single" w:sz="18" w:space="0" w:color="000000" w:themeColor="text1"/>
              <w:bottom w:val="dotted" w:sz="4" w:space="0" w:color="auto"/>
              <w:right w:val="single" w:sz="18" w:space="0" w:color="000000" w:themeColor="text1"/>
            </w:tcBorders>
            <w:vAlign w:val="center"/>
          </w:tcPr>
          <w:p w:rsidR="00040133" w:rsidRPr="008E33DF" w:rsidRDefault="00040133" w:rsidP="00F26BCD">
            <w:pPr>
              <w:spacing w:line="240" w:lineRule="auto"/>
              <w:jc w:val="center"/>
              <w:cnfStyle w:val="000000010000"/>
              <w:rPr>
                <w:rFonts w:asciiTheme="minorHAnsi" w:hAnsiTheme="minorHAnsi"/>
                <w:b/>
                <w:sz w:val="12"/>
                <w:szCs w:val="12"/>
              </w:rPr>
            </w:pPr>
          </w:p>
        </w:tc>
      </w:tr>
      <w:tr w:rsidR="00040133" w:rsidRPr="008E33DF" w:rsidTr="00040133">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4</w:t>
            </w:r>
          </w:p>
        </w:tc>
        <w:tc>
          <w:tcPr>
            <w:tcW w:w="340"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540"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b/>
                <w:sz w:val="12"/>
                <w:szCs w:val="12"/>
              </w:rPr>
            </w:pPr>
          </w:p>
        </w:tc>
      </w:tr>
      <w:tr w:rsidR="00040133" w:rsidRPr="008E33DF" w:rsidTr="00040133">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5</w:t>
            </w:r>
          </w:p>
        </w:tc>
        <w:tc>
          <w:tcPr>
            <w:tcW w:w="340" w:type="dxa"/>
            <w:tcBorders>
              <w:top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540" w:type="dxa"/>
            <w:tcBorders>
              <w:top w:val="dotted" w:sz="4" w:space="0" w:color="auto"/>
              <w:left w:val="single" w:sz="18" w:space="0" w:color="000000" w:themeColor="text1"/>
              <w:bottom w:val="dotted" w:sz="4" w:space="0" w:color="auto"/>
              <w:right w:val="single" w:sz="18" w:space="0" w:color="000000" w:themeColor="text1"/>
            </w:tcBorders>
            <w:vAlign w:val="center"/>
          </w:tcPr>
          <w:p w:rsidR="00040133" w:rsidRPr="008E33DF" w:rsidRDefault="00040133" w:rsidP="00F26BCD">
            <w:pPr>
              <w:spacing w:line="240" w:lineRule="auto"/>
              <w:jc w:val="center"/>
              <w:cnfStyle w:val="000000010000"/>
              <w:rPr>
                <w:rFonts w:asciiTheme="minorHAnsi" w:hAnsiTheme="minorHAnsi"/>
                <w:b/>
                <w:sz w:val="12"/>
                <w:szCs w:val="12"/>
              </w:rPr>
            </w:pPr>
          </w:p>
        </w:tc>
      </w:tr>
      <w:tr w:rsidR="00040133" w:rsidRPr="008E33DF" w:rsidTr="00040133">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7</w:t>
            </w:r>
          </w:p>
        </w:tc>
        <w:tc>
          <w:tcPr>
            <w:tcW w:w="340"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540"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b/>
                <w:sz w:val="12"/>
                <w:szCs w:val="12"/>
              </w:rPr>
            </w:pPr>
          </w:p>
        </w:tc>
      </w:tr>
      <w:tr w:rsidR="00040133" w:rsidRPr="008E33DF" w:rsidTr="00040133">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8</w:t>
            </w:r>
          </w:p>
        </w:tc>
        <w:tc>
          <w:tcPr>
            <w:tcW w:w="340" w:type="dxa"/>
            <w:tcBorders>
              <w:top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540" w:type="dxa"/>
            <w:tcBorders>
              <w:top w:val="dotted" w:sz="4" w:space="0" w:color="auto"/>
              <w:left w:val="single" w:sz="18" w:space="0" w:color="000000" w:themeColor="text1"/>
              <w:bottom w:val="dotted" w:sz="4" w:space="0" w:color="auto"/>
              <w:right w:val="single" w:sz="18" w:space="0" w:color="000000" w:themeColor="text1"/>
            </w:tcBorders>
            <w:vAlign w:val="center"/>
          </w:tcPr>
          <w:p w:rsidR="00040133" w:rsidRPr="008E33DF" w:rsidRDefault="00040133" w:rsidP="00F26BCD">
            <w:pPr>
              <w:spacing w:line="240" w:lineRule="auto"/>
              <w:jc w:val="center"/>
              <w:cnfStyle w:val="000000010000"/>
              <w:rPr>
                <w:rFonts w:asciiTheme="minorHAnsi" w:hAnsiTheme="minorHAnsi"/>
                <w:b/>
                <w:sz w:val="12"/>
                <w:szCs w:val="12"/>
              </w:rPr>
            </w:pPr>
          </w:p>
        </w:tc>
      </w:tr>
      <w:tr w:rsidR="00040133" w:rsidRPr="008E33DF" w:rsidTr="00040133">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9</w:t>
            </w:r>
          </w:p>
        </w:tc>
        <w:tc>
          <w:tcPr>
            <w:tcW w:w="340"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540"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b/>
                <w:sz w:val="12"/>
                <w:szCs w:val="12"/>
              </w:rPr>
            </w:pPr>
          </w:p>
        </w:tc>
      </w:tr>
      <w:tr w:rsidR="00040133" w:rsidRPr="008E33DF" w:rsidTr="00040133">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10</w:t>
            </w:r>
          </w:p>
        </w:tc>
        <w:tc>
          <w:tcPr>
            <w:tcW w:w="340" w:type="dxa"/>
            <w:tcBorders>
              <w:top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540" w:type="dxa"/>
            <w:tcBorders>
              <w:top w:val="dotted" w:sz="4" w:space="0" w:color="auto"/>
              <w:left w:val="single" w:sz="18" w:space="0" w:color="000000" w:themeColor="text1"/>
              <w:bottom w:val="dotted" w:sz="4" w:space="0" w:color="auto"/>
              <w:right w:val="single" w:sz="18" w:space="0" w:color="000000" w:themeColor="text1"/>
            </w:tcBorders>
            <w:vAlign w:val="center"/>
          </w:tcPr>
          <w:p w:rsidR="00040133" w:rsidRPr="008E33DF" w:rsidRDefault="00040133" w:rsidP="00F26BCD">
            <w:pPr>
              <w:spacing w:line="240" w:lineRule="auto"/>
              <w:jc w:val="center"/>
              <w:cnfStyle w:val="000000010000"/>
              <w:rPr>
                <w:rFonts w:asciiTheme="minorHAnsi" w:hAnsiTheme="minorHAnsi"/>
                <w:b/>
                <w:sz w:val="12"/>
                <w:szCs w:val="12"/>
              </w:rPr>
            </w:pPr>
          </w:p>
        </w:tc>
      </w:tr>
      <w:tr w:rsidR="00040133" w:rsidRPr="008E33DF" w:rsidTr="00040133">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12</w:t>
            </w:r>
          </w:p>
        </w:tc>
        <w:tc>
          <w:tcPr>
            <w:tcW w:w="340"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540"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b/>
                <w:sz w:val="12"/>
                <w:szCs w:val="12"/>
              </w:rPr>
            </w:pPr>
          </w:p>
        </w:tc>
      </w:tr>
      <w:tr w:rsidR="00040133" w:rsidRPr="008E33DF" w:rsidTr="00040133">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21</w:t>
            </w:r>
          </w:p>
        </w:tc>
        <w:tc>
          <w:tcPr>
            <w:tcW w:w="340" w:type="dxa"/>
            <w:tcBorders>
              <w:top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540" w:type="dxa"/>
            <w:tcBorders>
              <w:top w:val="dotted" w:sz="4" w:space="0" w:color="auto"/>
              <w:left w:val="single" w:sz="18" w:space="0" w:color="000000" w:themeColor="text1"/>
              <w:bottom w:val="dotted" w:sz="4" w:space="0" w:color="auto"/>
              <w:right w:val="single" w:sz="18" w:space="0" w:color="000000" w:themeColor="text1"/>
            </w:tcBorders>
            <w:vAlign w:val="center"/>
          </w:tcPr>
          <w:p w:rsidR="00040133" w:rsidRPr="008E33DF" w:rsidRDefault="00040133" w:rsidP="00F26BCD">
            <w:pPr>
              <w:spacing w:line="240" w:lineRule="auto"/>
              <w:jc w:val="center"/>
              <w:cnfStyle w:val="000000010000"/>
              <w:rPr>
                <w:rFonts w:asciiTheme="minorHAnsi" w:hAnsiTheme="minorHAnsi"/>
                <w:b/>
                <w:sz w:val="12"/>
                <w:szCs w:val="12"/>
              </w:rPr>
            </w:pPr>
          </w:p>
        </w:tc>
      </w:tr>
      <w:tr w:rsidR="00040133" w:rsidRPr="008E33DF" w:rsidTr="00040133">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25</w:t>
            </w:r>
          </w:p>
        </w:tc>
        <w:tc>
          <w:tcPr>
            <w:tcW w:w="340"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540"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b/>
                <w:sz w:val="12"/>
                <w:szCs w:val="12"/>
              </w:rPr>
            </w:pPr>
          </w:p>
        </w:tc>
      </w:tr>
      <w:tr w:rsidR="00040133" w:rsidRPr="008E33DF" w:rsidTr="00040133">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28</w:t>
            </w:r>
          </w:p>
        </w:tc>
        <w:tc>
          <w:tcPr>
            <w:tcW w:w="340" w:type="dxa"/>
            <w:tcBorders>
              <w:top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40" w:type="dxa"/>
            <w:tcBorders>
              <w:top w:val="dotted" w:sz="4" w:space="0" w:color="auto"/>
              <w:left w:val="single" w:sz="18" w:space="0" w:color="000000" w:themeColor="text1"/>
              <w:bottom w:val="dotted" w:sz="4" w:space="0" w:color="auto"/>
              <w:right w:val="single" w:sz="18" w:space="0" w:color="000000" w:themeColor="text1"/>
            </w:tcBorders>
            <w:vAlign w:val="center"/>
          </w:tcPr>
          <w:p w:rsidR="00040133" w:rsidRPr="008E33DF" w:rsidRDefault="00040133" w:rsidP="00F26BCD">
            <w:pPr>
              <w:spacing w:line="240" w:lineRule="auto"/>
              <w:jc w:val="center"/>
              <w:cnfStyle w:val="000000010000"/>
              <w:rPr>
                <w:rFonts w:asciiTheme="minorHAnsi" w:hAnsiTheme="minorHAnsi"/>
                <w:b/>
                <w:sz w:val="12"/>
                <w:szCs w:val="12"/>
              </w:rPr>
            </w:pPr>
          </w:p>
        </w:tc>
      </w:tr>
      <w:tr w:rsidR="00040133" w:rsidRPr="008E33DF" w:rsidTr="00040133">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29</w:t>
            </w:r>
          </w:p>
        </w:tc>
        <w:tc>
          <w:tcPr>
            <w:tcW w:w="340"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40"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b/>
                <w:sz w:val="12"/>
                <w:szCs w:val="12"/>
              </w:rPr>
            </w:pPr>
          </w:p>
        </w:tc>
      </w:tr>
      <w:tr w:rsidR="00040133" w:rsidRPr="008E33DF" w:rsidTr="00040133">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31</w:t>
            </w:r>
          </w:p>
        </w:tc>
        <w:tc>
          <w:tcPr>
            <w:tcW w:w="340" w:type="dxa"/>
            <w:tcBorders>
              <w:top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540" w:type="dxa"/>
            <w:tcBorders>
              <w:top w:val="dotted" w:sz="4" w:space="0" w:color="auto"/>
              <w:left w:val="single" w:sz="18" w:space="0" w:color="000000" w:themeColor="text1"/>
              <w:bottom w:val="dotted" w:sz="4" w:space="0" w:color="auto"/>
              <w:right w:val="single" w:sz="18" w:space="0" w:color="000000" w:themeColor="text1"/>
            </w:tcBorders>
            <w:vAlign w:val="center"/>
          </w:tcPr>
          <w:p w:rsidR="00040133" w:rsidRPr="008E33DF" w:rsidRDefault="00040133" w:rsidP="00F26BCD">
            <w:pPr>
              <w:spacing w:line="240" w:lineRule="auto"/>
              <w:jc w:val="center"/>
              <w:cnfStyle w:val="000000010000"/>
              <w:rPr>
                <w:rFonts w:asciiTheme="minorHAnsi" w:hAnsiTheme="minorHAnsi"/>
                <w:b/>
                <w:sz w:val="12"/>
                <w:szCs w:val="12"/>
              </w:rPr>
            </w:pPr>
          </w:p>
        </w:tc>
      </w:tr>
      <w:tr w:rsidR="00040133" w:rsidRPr="008E33DF" w:rsidTr="00040133">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33</w:t>
            </w:r>
          </w:p>
        </w:tc>
        <w:tc>
          <w:tcPr>
            <w:tcW w:w="340"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40"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b/>
                <w:sz w:val="12"/>
                <w:szCs w:val="12"/>
              </w:rPr>
            </w:pPr>
          </w:p>
        </w:tc>
      </w:tr>
      <w:tr w:rsidR="00040133" w:rsidRPr="008E33DF" w:rsidTr="00040133">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36</w:t>
            </w:r>
          </w:p>
        </w:tc>
        <w:tc>
          <w:tcPr>
            <w:tcW w:w="340" w:type="dxa"/>
            <w:tcBorders>
              <w:top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40" w:type="dxa"/>
            <w:tcBorders>
              <w:top w:val="dotted" w:sz="4" w:space="0" w:color="auto"/>
              <w:left w:val="single" w:sz="18" w:space="0" w:color="000000" w:themeColor="text1"/>
              <w:bottom w:val="dotted" w:sz="4" w:space="0" w:color="auto"/>
              <w:right w:val="single" w:sz="18" w:space="0" w:color="000000" w:themeColor="text1"/>
            </w:tcBorders>
            <w:vAlign w:val="center"/>
          </w:tcPr>
          <w:p w:rsidR="00040133" w:rsidRPr="008E33DF" w:rsidRDefault="00040133" w:rsidP="00F26BCD">
            <w:pPr>
              <w:spacing w:line="240" w:lineRule="auto"/>
              <w:jc w:val="center"/>
              <w:cnfStyle w:val="000000010000"/>
              <w:rPr>
                <w:rFonts w:asciiTheme="minorHAnsi" w:hAnsiTheme="minorHAnsi"/>
                <w:b/>
                <w:sz w:val="12"/>
                <w:szCs w:val="12"/>
              </w:rPr>
            </w:pPr>
          </w:p>
        </w:tc>
      </w:tr>
      <w:tr w:rsidR="00040133" w:rsidRPr="008E33DF" w:rsidTr="00040133">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37</w:t>
            </w:r>
          </w:p>
        </w:tc>
        <w:tc>
          <w:tcPr>
            <w:tcW w:w="340"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540"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b/>
                <w:sz w:val="12"/>
                <w:szCs w:val="12"/>
              </w:rPr>
            </w:pPr>
          </w:p>
        </w:tc>
      </w:tr>
      <w:tr w:rsidR="00040133" w:rsidRPr="008E33DF" w:rsidTr="00040133">
        <w:trPr>
          <w:cnfStyle w:val="000000010000"/>
        </w:trPr>
        <w:tc>
          <w:tcPr>
            <w:cnfStyle w:val="001000000000"/>
            <w:tcW w:w="817" w:type="dxa"/>
            <w:tcBorders>
              <w:top w:val="dotted" w:sz="4" w:space="0" w:color="auto"/>
              <w:bottom w:val="dotted" w:sz="4" w:space="0" w:color="auto"/>
              <w:right w:val="dotted" w:sz="4" w:space="0" w:color="auto"/>
            </w:tcBorders>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38</w:t>
            </w:r>
          </w:p>
        </w:tc>
        <w:tc>
          <w:tcPr>
            <w:tcW w:w="340" w:type="dxa"/>
            <w:tcBorders>
              <w:top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sz w:val="12"/>
                <w:szCs w:val="12"/>
              </w:rPr>
            </w:pPr>
            <w:r w:rsidRPr="008E33DF">
              <w:rPr>
                <w:rFonts w:asciiTheme="minorHAnsi" w:hAnsiTheme="minorHAnsi"/>
                <w:sz w:val="12"/>
                <w:szCs w:val="12"/>
              </w:rPr>
              <w:t>1</w:t>
            </w:r>
          </w:p>
        </w:tc>
        <w:tc>
          <w:tcPr>
            <w:tcW w:w="540" w:type="dxa"/>
            <w:tcBorders>
              <w:top w:val="dotted" w:sz="4" w:space="0" w:color="auto"/>
              <w:left w:val="single" w:sz="18" w:space="0" w:color="000000" w:themeColor="text1"/>
              <w:bottom w:val="dotted" w:sz="4" w:space="0" w:color="auto"/>
              <w:right w:val="single" w:sz="18" w:space="0" w:color="000000" w:themeColor="text1"/>
            </w:tcBorders>
            <w:vAlign w:val="center"/>
          </w:tcPr>
          <w:p w:rsidR="00040133" w:rsidRPr="008E33DF" w:rsidRDefault="00040133" w:rsidP="00F26BCD">
            <w:pPr>
              <w:spacing w:line="240" w:lineRule="auto"/>
              <w:jc w:val="center"/>
              <w:cnfStyle w:val="000000010000"/>
              <w:rPr>
                <w:rFonts w:asciiTheme="minorHAnsi" w:hAnsiTheme="minorHAnsi"/>
                <w:b/>
                <w:sz w:val="12"/>
                <w:szCs w:val="12"/>
              </w:rPr>
            </w:pPr>
          </w:p>
        </w:tc>
      </w:tr>
      <w:tr w:rsidR="00040133" w:rsidRPr="008E33DF" w:rsidTr="00040133">
        <w:trPr>
          <w:cnfStyle w:val="000000100000"/>
        </w:trPr>
        <w:tc>
          <w:tcPr>
            <w:cnfStyle w:val="001000000000"/>
            <w:tcW w:w="817"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40</w:t>
            </w:r>
          </w:p>
        </w:tc>
        <w:tc>
          <w:tcPr>
            <w:tcW w:w="340" w:type="dxa"/>
            <w:tcBorders>
              <w:top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p>
        </w:tc>
        <w:tc>
          <w:tcPr>
            <w:tcW w:w="340"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sz w:val="12"/>
                <w:szCs w:val="12"/>
              </w:rPr>
            </w:pPr>
            <w:r w:rsidRPr="008E33DF">
              <w:rPr>
                <w:rFonts w:asciiTheme="minorHAnsi" w:hAnsiTheme="minorHAnsi"/>
                <w:sz w:val="12"/>
                <w:szCs w:val="12"/>
              </w:rPr>
              <w:t>1</w:t>
            </w:r>
          </w:p>
        </w:tc>
        <w:tc>
          <w:tcPr>
            <w:tcW w:w="540" w:type="dxa"/>
            <w:tcBorders>
              <w:top w:val="dotted" w:sz="4" w:space="0" w:color="auto"/>
              <w:left w:val="single" w:sz="18" w:space="0" w:color="000000" w:themeColor="text1"/>
              <w:bottom w:val="dotted" w:sz="4" w:space="0" w:color="auto"/>
              <w:right w:val="single" w:sz="18" w:space="0" w:color="000000" w:themeColor="text1"/>
            </w:tcBorders>
            <w:shd w:val="clear" w:color="auto" w:fill="BFBFBF" w:themeFill="background1" w:themeFillShade="BF"/>
            <w:vAlign w:val="center"/>
          </w:tcPr>
          <w:p w:rsidR="00040133" w:rsidRPr="008E33DF" w:rsidRDefault="00040133" w:rsidP="00F26BCD">
            <w:pPr>
              <w:spacing w:line="240" w:lineRule="auto"/>
              <w:jc w:val="center"/>
              <w:cnfStyle w:val="000000100000"/>
              <w:rPr>
                <w:rFonts w:asciiTheme="minorHAnsi" w:hAnsiTheme="minorHAnsi"/>
                <w:b/>
                <w:sz w:val="12"/>
                <w:szCs w:val="12"/>
              </w:rPr>
            </w:pPr>
          </w:p>
        </w:tc>
      </w:tr>
      <w:tr w:rsidR="00040133" w:rsidRPr="008E33DF" w:rsidTr="00E51BED">
        <w:trPr>
          <w:cnfStyle w:val="000000010000"/>
        </w:trPr>
        <w:tc>
          <w:tcPr>
            <w:cnfStyle w:val="001000000000"/>
            <w:tcW w:w="817" w:type="dxa"/>
            <w:tcBorders>
              <w:top w:val="single" w:sz="18" w:space="0" w:color="000000" w:themeColor="text1"/>
              <w:left w:val="single" w:sz="18" w:space="0" w:color="000000" w:themeColor="text1"/>
              <w:bottom w:val="single" w:sz="18" w:space="0" w:color="000000" w:themeColor="text1"/>
              <w:right w:val="dotted" w:sz="4" w:space="0" w:color="auto"/>
            </w:tcBorders>
            <w:vAlign w:val="center"/>
          </w:tcPr>
          <w:p w:rsidR="00040133" w:rsidRPr="008E33DF" w:rsidRDefault="00040133" w:rsidP="00F26BCD">
            <w:pPr>
              <w:spacing w:line="240" w:lineRule="auto"/>
              <w:jc w:val="center"/>
              <w:rPr>
                <w:rFonts w:asciiTheme="minorHAnsi" w:hAnsiTheme="minorHAnsi"/>
                <w:sz w:val="12"/>
                <w:szCs w:val="12"/>
              </w:rPr>
            </w:pPr>
            <w:r w:rsidRPr="008E33DF">
              <w:rPr>
                <w:rFonts w:asciiTheme="minorHAnsi" w:hAnsiTheme="minorHAnsi"/>
                <w:sz w:val="12"/>
                <w:szCs w:val="12"/>
              </w:rPr>
              <w:t>18</w:t>
            </w:r>
          </w:p>
        </w:tc>
        <w:tc>
          <w:tcPr>
            <w:tcW w:w="340" w:type="dxa"/>
            <w:tcBorders>
              <w:top w:val="single" w:sz="18" w:space="0" w:color="000000" w:themeColor="text1"/>
              <w:bottom w:val="single" w:sz="18" w:space="0" w:color="000000" w:themeColor="text1"/>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13</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4</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11</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2</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2</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2</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1</w:t>
            </w:r>
          </w:p>
        </w:tc>
        <w:tc>
          <w:tcPr>
            <w:tcW w:w="340" w:type="dxa"/>
            <w:tcBorders>
              <w:top w:val="single" w:sz="18" w:space="0" w:color="000000" w:themeColor="text1"/>
              <w:left w:val="dotted" w:sz="4" w:space="0" w:color="auto"/>
              <w:bottom w:val="single" w:sz="18" w:space="0" w:color="000000" w:themeColor="text1"/>
              <w:right w:val="dotted" w:sz="4" w:space="0" w:color="auto"/>
            </w:tcBorders>
            <w:shd w:val="clear" w:color="auto" w:fill="auto"/>
            <w:vAlign w:val="center"/>
          </w:tcPr>
          <w:p w:rsidR="00040133" w:rsidRPr="008E33DF" w:rsidRDefault="00040133" w:rsidP="00F26BC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6</w:t>
            </w:r>
          </w:p>
        </w:tc>
        <w:tc>
          <w:tcPr>
            <w:tcW w:w="540" w:type="dxa"/>
            <w:tcBorders>
              <w:top w:val="single" w:sz="18" w:space="0" w:color="000000" w:themeColor="text1"/>
              <w:left w:val="single" w:sz="18" w:space="0" w:color="000000" w:themeColor="text1"/>
              <w:bottom w:val="single" w:sz="18" w:space="0" w:color="000000" w:themeColor="text1"/>
              <w:right w:val="single" w:sz="12" w:space="0" w:color="000000" w:themeColor="text1"/>
            </w:tcBorders>
            <w:vAlign w:val="center"/>
          </w:tcPr>
          <w:p w:rsidR="00040133" w:rsidRPr="008E33DF" w:rsidRDefault="00040133" w:rsidP="00F26BCD">
            <w:pPr>
              <w:spacing w:line="240" w:lineRule="auto"/>
              <w:jc w:val="center"/>
              <w:cnfStyle w:val="000000010000"/>
              <w:rPr>
                <w:rFonts w:asciiTheme="minorHAnsi" w:hAnsiTheme="minorHAnsi"/>
                <w:b/>
                <w:sz w:val="12"/>
                <w:szCs w:val="12"/>
              </w:rPr>
            </w:pPr>
            <w:r w:rsidRPr="008E33DF">
              <w:rPr>
                <w:rFonts w:asciiTheme="minorHAnsi" w:hAnsiTheme="minorHAnsi"/>
                <w:b/>
                <w:sz w:val="12"/>
                <w:szCs w:val="12"/>
              </w:rPr>
              <w:t>Totaal</w:t>
            </w:r>
          </w:p>
        </w:tc>
      </w:tr>
      <w:tr w:rsidR="00040133" w:rsidRPr="008E33DF" w:rsidTr="00E51BED">
        <w:trPr>
          <w:cnfStyle w:val="000000100000"/>
        </w:trPr>
        <w:tc>
          <w:tcPr>
            <w:cnfStyle w:val="001000000000"/>
            <w:tcW w:w="817" w:type="dxa"/>
            <w:tcBorders>
              <w:top w:val="single" w:sz="18" w:space="0" w:color="000000" w:themeColor="text1"/>
              <w:right w:val="dotted" w:sz="4" w:space="0" w:color="auto"/>
            </w:tcBorders>
            <w:shd w:val="clear" w:color="auto" w:fill="17365D" w:themeFill="text2" w:themeFillShade="BF"/>
            <w:vAlign w:val="center"/>
          </w:tcPr>
          <w:p w:rsidR="00040133" w:rsidRPr="008E33DF" w:rsidRDefault="00040133" w:rsidP="00F26BCD">
            <w:pPr>
              <w:spacing w:line="240" w:lineRule="auto"/>
              <w:jc w:val="center"/>
              <w:rPr>
                <w:rFonts w:asciiTheme="minorHAnsi" w:hAnsiTheme="minorHAnsi"/>
                <w:sz w:val="12"/>
                <w:szCs w:val="12"/>
              </w:rPr>
            </w:pPr>
          </w:p>
        </w:tc>
        <w:tc>
          <w:tcPr>
            <w:tcW w:w="3260" w:type="dxa"/>
            <w:gridSpan w:val="9"/>
            <w:tcBorders>
              <w:top w:val="single" w:sz="18" w:space="0" w:color="000000" w:themeColor="text1"/>
            </w:tcBorders>
            <w:shd w:val="clear" w:color="auto" w:fill="auto"/>
            <w:vAlign w:val="bottom"/>
          </w:tcPr>
          <w:p w:rsidR="00040133" w:rsidRPr="008E33DF" w:rsidRDefault="00040133" w:rsidP="00F26BCD">
            <w:pPr>
              <w:spacing w:line="240" w:lineRule="auto"/>
              <w:cnfStyle w:val="000000100000"/>
              <w:rPr>
                <w:rFonts w:asciiTheme="minorHAnsi" w:hAnsiTheme="minorHAnsi"/>
                <w:b/>
                <w:sz w:val="12"/>
                <w:szCs w:val="12"/>
              </w:rPr>
            </w:pPr>
            <w:r w:rsidRPr="008E33DF">
              <w:rPr>
                <w:rFonts w:asciiTheme="minorHAnsi" w:hAnsiTheme="minorHAnsi"/>
                <w:b/>
                <w:sz w:val="12"/>
                <w:szCs w:val="12"/>
              </w:rPr>
              <w:t>Aanwijzingen in de huurovereenkomst en/of correspondentie</w:t>
            </w:r>
          </w:p>
        </w:tc>
      </w:tr>
      <w:tr w:rsidR="00040133" w:rsidRPr="008E33DF" w:rsidTr="00040133">
        <w:trPr>
          <w:cnfStyle w:val="000000010000"/>
        </w:trPr>
        <w:tc>
          <w:tcPr>
            <w:cnfStyle w:val="001000000000"/>
            <w:tcW w:w="817" w:type="dxa"/>
            <w:tcBorders>
              <w:right w:val="dotted" w:sz="4" w:space="0" w:color="auto"/>
            </w:tcBorders>
            <w:shd w:val="clear" w:color="auto" w:fill="76923C" w:themeFill="accent3" w:themeFillShade="BF"/>
            <w:vAlign w:val="center"/>
          </w:tcPr>
          <w:p w:rsidR="00040133" w:rsidRPr="008E33DF" w:rsidRDefault="00040133" w:rsidP="00F26BCD">
            <w:pPr>
              <w:spacing w:line="240" w:lineRule="auto"/>
              <w:jc w:val="center"/>
              <w:rPr>
                <w:rFonts w:asciiTheme="minorHAnsi" w:hAnsiTheme="minorHAnsi"/>
                <w:sz w:val="12"/>
                <w:szCs w:val="12"/>
              </w:rPr>
            </w:pPr>
          </w:p>
        </w:tc>
        <w:tc>
          <w:tcPr>
            <w:tcW w:w="3260" w:type="dxa"/>
            <w:gridSpan w:val="9"/>
            <w:shd w:val="clear" w:color="auto" w:fill="auto"/>
            <w:vAlign w:val="bottom"/>
          </w:tcPr>
          <w:p w:rsidR="00040133" w:rsidRPr="008E33DF" w:rsidRDefault="00040133" w:rsidP="00F26BCD">
            <w:pPr>
              <w:spacing w:line="240" w:lineRule="auto"/>
              <w:cnfStyle w:val="000000010000"/>
              <w:rPr>
                <w:rFonts w:asciiTheme="minorHAnsi" w:hAnsiTheme="minorHAnsi"/>
                <w:b/>
                <w:sz w:val="12"/>
                <w:szCs w:val="12"/>
              </w:rPr>
            </w:pPr>
            <w:r w:rsidRPr="008E33DF">
              <w:rPr>
                <w:rFonts w:asciiTheme="minorHAnsi" w:hAnsiTheme="minorHAnsi"/>
                <w:b/>
                <w:sz w:val="12"/>
                <w:szCs w:val="12"/>
              </w:rPr>
              <w:t>Beoogde verkoop, renovatie of sloop</w:t>
            </w:r>
          </w:p>
        </w:tc>
      </w:tr>
      <w:tr w:rsidR="00040133" w:rsidRPr="008E33DF" w:rsidTr="00040133">
        <w:trPr>
          <w:cnfStyle w:val="000000100000"/>
        </w:trPr>
        <w:tc>
          <w:tcPr>
            <w:cnfStyle w:val="001000000000"/>
            <w:tcW w:w="817" w:type="dxa"/>
            <w:tcBorders>
              <w:right w:val="dotted" w:sz="4" w:space="0" w:color="auto"/>
            </w:tcBorders>
            <w:shd w:val="clear" w:color="auto" w:fill="943634" w:themeFill="accent2" w:themeFillShade="BF"/>
            <w:vAlign w:val="center"/>
          </w:tcPr>
          <w:p w:rsidR="00040133" w:rsidRPr="008E33DF" w:rsidRDefault="00040133" w:rsidP="00F26BCD">
            <w:pPr>
              <w:spacing w:line="240" w:lineRule="auto"/>
              <w:jc w:val="center"/>
              <w:rPr>
                <w:rFonts w:asciiTheme="minorHAnsi" w:hAnsiTheme="minorHAnsi"/>
                <w:sz w:val="12"/>
                <w:szCs w:val="12"/>
              </w:rPr>
            </w:pPr>
          </w:p>
        </w:tc>
        <w:tc>
          <w:tcPr>
            <w:tcW w:w="3260" w:type="dxa"/>
            <w:gridSpan w:val="9"/>
            <w:shd w:val="clear" w:color="auto" w:fill="auto"/>
            <w:vAlign w:val="bottom"/>
          </w:tcPr>
          <w:p w:rsidR="00040133" w:rsidRPr="008E33DF" w:rsidRDefault="00040133" w:rsidP="00F26BCD">
            <w:pPr>
              <w:spacing w:line="240" w:lineRule="auto"/>
              <w:cnfStyle w:val="000000100000"/>
              <w:rPr>
                <w:rFonts w:asciiTheme="minorHAnsi" w:hAnsiTheme="minorHAnsi"/>
                <w:b/>
                <w:sz w:val="12"/>
                <w:szCs w:val="12"/>
              </w:rPr>
            </w:pPr>
            <w:r w:rsidRPr="008E33DF">
              <w:rPr>
                <w:rFonts w:asciiTheme="minorHAnsi" w:hAnsiTheme="minorHAnsi"/>
                <w:b/>
                <w:sz w:val="12"/>
                <w:szCs w:val="12"/>
              </w:rPr>
              <w:t>Verklaringen van de partijen</w:t>
            </w:r>
          </w:p>
        </w:tc>
      </w:tr>
      <w:tr w:rsidR="00040133" w:rsidRPr="008E33DF" w:rsidTr="00040133">
        <w:trPr>
          <w:cnfStyle w:val="000000010000"/>
        </w:trPr>
        <w:tc>
          <w:tcPr>
            <w:cnfStyle w:val="001000000000"/>
            <w:tcW w:w="817" w:type="dxa"/>
            <w:tcBorders>
              <w:right w:val="dotted" w:sz="4" w:space="0" w:color="auto"/>
            </w:tcBorders>
            <w:shd w:val="clear" w:color="auto" w:fill="5F497A" w:themeFill="accent4" w:themeFillShade="BF"/>
            <w:vAlign w:val="center"/>
          </w:tcPr>
          <w:p w:rsidR="00040133" w:rsidRPr="008E33DF" w:rsidRDefault="00040133" w:rsidP="00F26BCD">
            <w:pPr>
              <w:spacing w:line="240" w:lineRule="auto"/>
              <w:jc w:val="center"/>
              <w:rPr>
                <w:rFonts w:asciiTheme="minorHAnsi" w:hAnsiTheme="minorHAnsi"/>
                <w:sz w:val="12"/>
                <w:szCs w:val="12"/>
              </w:rPr>
            </w:pPr>
          </w:p>
        </w:tc>
        <w:tc>
          <w:tcPr>
            <w:tcW w:w="3260" w:type="dxa"/>
            <w:gridSpan w:val="9"/>
            <w:shd w:val="clear" w:color="auto" w:fill="auto"/>
            <w:vAlign w:val="bottom"/>
          </w:tcPr>
          <w:p w:rsidR="00040133" w:rsidRPr="008E33DF" w:rsidRDefault="00040133" w:rsidP="00F26BCD">
            <w:pPr>
              <w:spacing w:line="240" w:lineRule="auto"/>
              <w:cnfStyle w:val="000000010000"/>
              <w:rPr>
                <w:rFonts w:asciiTheme="minorHAnsi" w:hAnsiTheme="minorHAnsi"/>
                <w:b/>
                <w:sz w:val="12"/>
                <w:szCs w:val="12"/>
              </w:rPr>
            </w:pPr>
            <w:r w:rsidRPr="008E33DF">
              <w:rPr>
                <w:rFonts w:asciiTheme="minorHAnsi" w:hAnsiTheme="minorHAnsi"/>
                <w:b/>
                <w:sz w:val="12"/>
                <w:szCs w:val="12"/>
              </w:rPr>
              <w:t>Aanwijzingen in de advertentie/website</w:t>
            </w:r>
          </w:p>
        </w:tc>
      </w:tr>
      <w:tr w:rsidR="00040133" w:rsidRPr="008E33DF" w:rsidTr="00040133">
        <w:trPr>
          <w:cnfStyle w:val="000000100000"/>
        </w:trPr>
        <w:tc>
          <w:tcPr>
            <w:cnfStyle w:val="001000000000"/>
            <w:tcW w:w="817" w:type="dxa"/>
            <w:tcBorders>
              <w:right w:val="dotted" w:sz="4" w:space="0" w:color="auto"/>
            </w:tcBorders>
            <w:shd w:val="clear" w:color="auto" w:fill="E36C0A" w:themeFill="accent6" w:themeFillShade="BF"/>
            <w:vAlign w:val="center"/>
          </w:tcPr>
          <w:p w:rsidR="00040133" w:rsidRPr="008E33DF" w:rsidRDefault="00040133" w:rsidP="00F26BCD">
            <w:pPr>
              <w:spacing w:line="240" w:lineRule="auto"/>
              <w:jc w:val="center"/>
              <w:rPr>
                <w:rFonts w:asciiTheme="minorHAnsi" w:hAnsiTheme="minorHAnsi"/>
                <w:sz w:val="12"/>
                <w:szCs w:val="12"/>
              </w:rPr>
            </w:pPr>
          </w:p>
        </w:tc>
        <w:tc>
          <w:tcPr>
            <w:tcW w:w="3260" w:type="dxa"/>
            <w:gridSpan w:val="9"/>
            <w:shd w:val="clear" w:color="auto" w:fill="auto"/>
            <w:vAlign w:val="bottom"/>
          </w:tcPr>
          <w:p w:rsidR="00040133" w:rsidRPr="008E33DF" w:rsidRDefault="00040133" w:rsidP="00F26BCD">
            <w:pPr>
              <w:spacing w:line="240" w:lineRule="auto"/>
              <w:cnfStyle w:val="000000100000"/>
              <w:rPr>
                <w:rFonts w:asciiTheme="minorHAnsi" w:hAnsiTheme="minorHAnsi"/>
                <w:b/>
                <w:sz w:val="12"/>
                <w:szCs w:val="12"/>
              </w:rPr>
            </w:pPr>
            <w:r w:rsidRPr="008E33DF">
              <w:rPr>
                <w:rFonts w:asciiTheme="minorHAnsi" w:hAnsiTheme="minorHAnsi"/>
                <w:b/>
                <w:sz w:val="12"/>
                <w:szCs w:val="12"/>
              </w:rPr>
              <w:t>Beoogde doorstroming</w:t>
            </w:r>
          </w:p>
        </w:tc>
      </w:tr>
      <w:tr w:rsidR="00040133" w:rsidRPr="008E33DF" w:rsidTr="00040133">
        <w:trPr>
          <w:cnfStyle w:val="000000010000"/>
        </w:trPr>
        <w:tc>
          <w:tcPr>
            <w:cnfStyle w:val="001000000000"/>
            <w:tcW w:w="817" w:type="dxa"/>
            <w:tcBorders>
              <w:right w:val="dotted" w:sz="4" w:space="0" w:color="auto"/>
            </w:tcBorders>
            <w:shd w:val="clear" w:color="auto" w:fill="31849B" w:themeFill="accent5" w:themeFillShade="BF"/>
            <w:vAlign w:val="center"/>
          </w:tcPr>
          <w:p w:rsidR="00040133" w:rsidRPr="008E33DF" w:rsidRDefault="00040133" w:rsidP="00F26BCD">
            <w:pPr>
              <w:spacing w:line="240" w:lineRule="auto"/>
              <w:jc w:val="center"/>
              <w:rPr>
                <w:rFonts w:asciiTheme="minorHAnsi" w:hAnsiTheme="minorHAnsi"/>
                <w:sz w:val="12"/>
                <w:szCs w:val="12"/>
              </w:rPr>
            </w:pPr>
          </w:p>
        </w:tc>
        <w:tc>
          <w:tcPr>
            <w:tcW w:w="3260" w:type="dxa"/>
            <w:gridSpan w:val="9"/>
            <w:shd w:val="clear" w:color="auto" w:fill="auto"/>
            <w:vAlign w:val="bottom"/>
          </w:tcPr>
          <w:p w:rsidR="00040133" w:rsidRPr="008E33DF" w:rsidRDefault="00E51BED" w:rsidP="00F26BCD">
            <w:pPr>
              <w:spacing w:line="240" w:lineRule="auto"/>
              <w:cnfStyle w:val="000000010000"/>
              <w:rPr>
                <w:rFonts w:asciiTheme="minorHAnsi" w:hAnsiTheme="minorHAnsi"/>
                <w:b/>
                <w:sz w:val="12"/>
                <w:szCs w:val="12"/>
              </w:rPr>
            </w:pPr>
            <w:r w:rsidRPr="008E33DF">
              <w:rPr>
                <w:rFonts w:asciiTheme="minorHAnsi" w:hAnsiTheme="minorHAnsi"/>
                <w:b/>
                <w:sz w:val="12"/>
                <w:szCs w:val="12"/>
              </w:rPr>
              <w:t xml:space="preserve">Aanwijzingen in het intakegesprek of </w:t>
            </w:r>
            <w:r w:rsidR="00040133" w:rsidRPr="008E33DF">
              <w:rPr>
                <w:rFonts w:asciiTheme="minorHAnsi" w:hAnsiTheme="minorHAnsi"/>
                <w:b/>
                <w:sz w:val="12"/>
                <w:szCs w:val="12"/>
              </w:rPr>
              <w:t>aanvraagformulier</w:t>
            </w:r>
          </w:p>
        </w:tc>
      </w:tr>
      <w:tr w:rsidR="00040133" w:rsidRPr="008E33DF" w:rsidTr="00040133">
        <w:trPr>
          <w:cnfStyle w:val="000000100000"/>
        </w:trPr>
        <w:tc>
          <w:tcPr>
            <w:cnfStyle w:val="001000000000"/>
            <w:tcW w:w="817" w:type="dxa"/>
            <w:tcBorders>
              <w:right w:val="dotted" w:sz="4" w:space="0" w:color="auto"/>
            </w:tcBorders>
            <w:shd w:val="clear" w:color="auto" w:fill="FF0000"/>
            <w:vAlign w:val="center"/>
          </w:tcPr>
          <w:p w:rsidR="00040133" w:rsidRPr="008E33DF" w:rsidRDefault="00040133" w:rsidP="00F26BCD">
            <w:pPr>
              <w:spacing w:line="240" w:lineRule="auto"/>
              <w:jc w:val="center"/>
              <w:rPr>
                <w:rFonts w:asciiTheme="minorHAnsi" w:hAnsiTheme="minorHAnsi"/>
                <w:sz w:val="12"/>
                <w:szCs w:val="12"/>
              </w:rPr>
            </w:pPr>
          </w:p>
        </w:tc>
        <w:tc>
          <w:tcPr>
            <w:tcW w:w="3260" w:type="dxa"/>
            <w:gridSpan w:val="9"/>
            <w:shd w:val="clear" w:color="auto" w:fill="auto"/>
            <w:vAlign w:val="bottom"/>
          </w:tcPr>
          <w:p w:rsidR="00040133" w:rsidRPr="008E33DF" w:rsidRDefault="00040133" w:rsidP="00F26BCD">
            <w:pPr>
              <w:spacing w:line="240" w:lineRule="auto"/>
              <w:cnfStyle w:val="000000100000"/>
              <w:rPr>
                <w:rFonts w:asciiTheme="minorHAnsi" w:hAnsiTheme="minorHAnsi"/>
                <w:b/>
                <w:sz w:val="12"/>
                <w:szCs w:val="12"/>
              </w:rPr>
            </w:pPr>
            <w:r w:rsidRPr="008E33DF">
              <w:rPr>
                <w:rFonts w:asciiTheme="minorHAnsi" w:hAnsiTheme="minorHAnsi"/>
                <w:b/>
                <w:sz w:val="12"/>
                <w:szCs w:val="12"/>
              </w:rPr>
              <w:t>Huurprijs</w:t>
            </w:r>
          </w:p>
        </w:tc>
      </w:tr>
      <w:tr w:rsidR="00040133" w:rsidRPr="008E33DF" w:rsidTr="00040133">
        <w:trPr>
          <w:cnfStyle w:val="000000010000"/>
        </w:trPr>
        <w:tc>
          <w:tcPr>
            <w:cnfStyle w:val="001000000000"/>
            <w:tcW w:w="817" w:type="dxa"/>
            <w:tcBorders>
              <w:right w:val="dotted" w:sz="4" w:space="0" w:color="auto"/>
            </w:tcBorders>
            <w:shd w:val="clear" w:color="auto" w:fill="808080" w:themeFill="background1" w:themeFillShade="80"/>
            <w:vAlign w:val="center"/>
          </w:tcPr>
          <w:p w:rsidR="00040133" w:rsidRPr="008E33DF" w:rsidRDefault="00040133" w:rsidP="00F26BCD">
            <w:pPr>
              <w:spacing w:line="240" w:lineRule="auto"/>
              <w:jc w:val="center"/>
              <w:rPr>
                <w:rFonts w:asciiTheme="minorHAnsi" w:hAnsiTheme="minorHAnsi"/>
                <w:sz w:val="12"/>
                <w:szCs w:val="12"/>
              </w:rPr>
            </w:pPr>
          </w:p>
        </w:tc>
        <w:tc>
          <w:tcPr>
            <w:tcW w:w="3260" w:type="dxa"/>
            <w:gridSpan w:val="9"/>
            <w:shd w:val="clear" w:color="auto" w:fill="auto"/>
            <w:vAlign w:val="bottom"/>
          </w:tcPr>
          <w:p w:rsidR="00040133" w:rsidRPr="008E33DF" w:rsidRDefault="00040133" w:rsidP="00F26BCD">
            <w:pPr>
              <w:spacing w:line="240" w:lineRule="auto"/>
              <w:cnfStyle w:val="000000010000"/>
              <w:rPr>
                <w:rFonts w:asciiTheme="minorHAnsi" w:hAnsiTheme="minorHAnsi"/>
                <w:b/>
                <w:sz w:val="12"/>
                <w:szCs w:val="12"/>
              </w:rPr>
            </w:pPr>
            <w:r w:rsidRPr="008E33DF">
              <w:rPr>
                <w:rFonts w:asciiTheme="minorHAnsi" w:hAnsiTheme="minorHAnsi"/>
                <w:b/>
                <w:sz w:val="12"/>
                <w:szCs w:val="12"/>
              </w:rPr>
              <w:t>Overig</w:t>
            </w:r>
          </w:p>
        </w:tc>
      </w:tr>
    </w:tbl>
    <w:p w:rsidR="00040133" w:rsidRPr="008E33DF" w:rsidRDefault="00040133" w:rsidP="00881B29">
      <w:pPr>
        <w:rPr>
          <w:rFonts w:cs="Helvetica"/>
          <w:szCs w:val="20"/>
        </w:rPr>
      </w:pPr>
    </w:p>
    <w:p w:rsidR="002437D1" w:rsidRPr="008E33DF" w:rsidRDefault="00040133" w:rsidP="00040133">
      <w:pPr>
        <w:rPr>
          <w:rFonts w:cs="Helvetica"/>
          <w:szCs w:val="20"/>
        </w:rPr>
      </w:pPr>
      <w:r w:rsidRPr="008E33DF">
        <w:rPr>
          <w:rFonts w:cs="Helvetica"/>
          <w:szCs w:val="20"/>
        </w:rPr>
        <w:t>Tabel 8 bevat de feiten en omstandigheden</w:t>
      </w:r>
      <w:r w:rsidR="0040551B" w:rsidRPr="008E33DF">
        <w:rPr>
          <w:rFonts w:cs="Helvetica"/>
          <w:szCs w:val="20"/>
        </w:rPr>
        <w:t xml:space="preserve"> die van belang zijn voor de rechter bij het toetsen op de bedoelingen van partijen</w:t>
      </w:r>
      <w:r w:rsidRPr="008E33DF">
        <w:rPr>
          <w:rFonts w:cs="Helvetica"/>
          <w:szCs w:val="20"/>
        </w:rPr>
        <w:t xml:space="preserve"> van de uitspraken waarbij het beroep op art. 7:232 lid 2 </w:t>
      </w:r>
      <w:r w:rsidR="0092547B" w:rsidRPr="008E33DF">
        <w:rPr>
          <w:rFonts w:cs="Helvetica"/>
          <w:szCs w:val="20"/>
        </w:rPr>
        <w:t xml:space="preserve">BW </w:t>
      </w:r>
      <w:r w:rsidRPr="008E33DF">
        <w:rPr>
          <w:rFonts w:cs="Helvetica"/>
          <w:szCs w:val="20"/>
        </w:rPr>
        <w:t xml:space="preserve">wordt afgewezen. </w:t>
      </w:r>
      <w:r w:rsidR="002437D1" w:rsidRPr="008E33DF">
        <w:rPr>
          <w:rFonts w:cs="Helvetica"/>
          <w:szCs w:val="20"/>
        </w:rPr>
        <w:t>Uit de</w:t>
      </w:r>
      <w:r w:rsidR="002719B9" w:rsidRPr="008E33DF">
        <w:rPr>
          <w:rFonts w:cs="Helvetica"/>
          <w:szCs w:val="20"/>
        </w:rPr>
        <w:t xml:space="preserve"> tabel valt af te lezen dat</w:t>
      </w:r>
      <w:r w:rsidR="00B01AB1" w:rsidRPr="008E33DF">
        <w:rPr>
          <w:rFonts w:cs="Helvetica"/>
          <w:szCs w:val="20"/>
        </w:rPr>
        <w:t xml:space="preserve"> de rechter</w:t>
      </w:r>
      <w:r w:rsidR="002719B9" w:rsidRPr="008E33DF">
        <w:rPr>
          <w:rFonts w:cs="Helvetica"/>
          <w:szCs w:val="20"/>
        </w:rPr>
        <w:t xml:space="preserve"> ook in de toegewezen uitspraken vooral kijkt naar de </w:t>
      </w:r>
      <w:r w:rsidR="002719B9" w:rsidRPr="008E33DF">
        <w:rPr>
          <w:rFonts w:cs="Helvetica"/>
          <w:b/>
          <w:szCs w:val="20"/>
        </w:rPr>
        <w:t>aanwijz</w:t>
      </w:r>
      <w:r w:rsidR="00E4146E" w:rsidRPr="008E33DF">
        <w:rPr>
          <w:rFonts w:cs="Helvetica"/>
          <w:b/>
          <w:szCs w:val="20"/>
        </w:rPr>
        <w:t>ingen in de huurovereenkomst</w:t>
      </w:r>
      <w:r w:rsidR="00B01AB1" w:rsidRPr="008E33DF">
        <w:rPr>
          <w:rFonts w:cs="Helvetica"/>
          <w:b/>
          <w:szCs w:val="20"/>
        </w:rPr>
        <w:t xml:space="preserve"> en,</w:t>
      </w:r>
      <w:r w:rsidR="00E4146E" w:rsidRPr="008E33DF">
        <w:rPr>
          <w:rFonts w:cs="Helvetica"/>
          <w:b/>
          <w:szCs w:val="20"/>
        </w:rPr>
        <w:t xml:space="preserve"> </w:t>
      </w:r>
      <w:r w:rsidR="002719B9" w:rsidRPr="008E33DF">
        <w:rPr>
          <w:rFonts w:cs="Helvetica"/>
          <w:b/>
          <w:szCs w:val="20"/>
        </w:rPr>
        <w:t>of correspondentie</w:t>
      </w:r>
      <w:r w:rsidR="002719B9" w:rsidRPr="008E33DF">
        <w:rPr>
          <w:rFonts w:cs="Helvetica"/>
          <w:szCs w:val="20"/>
        </w:rPr>
        <w:t xml:space="preserve">. </w:t>
      </w:r>
    </w:p>
    <w:p w:rsidR="00D6610A" w:rsidRPr="008E33DF" w:rsidRDefault="002719B9" w:rsidP="00040133">
      <w:pPr>
        <w:rPr>
          <w:rFonts w:cs="Helvetica"/>
          <w:szCs w:val="20"/>
        </w:rPr>
      </w:pPr>
      <w:r w:rsidRPr="008E33DF">
        <w:rPr>
          <w:rFonts w:cs="Helvetica"/>
          <w:szCs w:val="20"/>
        </w:rPr>
        <w:t xml:space="preserve">Net </w:t>
      </w:r>
      <w:r w:rsidR="00B01AB1" w:rsidRPr="008E33DF">
        <w:rPr>
          <w:rFonts w:cs="Helvetica"/>
          <w:szCs w:val="20"/>
        </w:rPr>
        <w:t>a</w:t>
      </w:r>
      <w:r w:rsidRPr="008E33DF">
        <w:rPr>
          <w:rFonts w:cs="Helvetica"/>
          <w:szCs w:val="20"/>
        </w:rPr>
        <w:t>ls in de afgewezen uitspraken overwee</w:t>
      </w:r>
      <w:r w:rsidR="002437D1" w:rsidRPr="008E33DF">
        <w:rPr>
          <w:rFonts w:cs="Helvetica"/>
          <w:szCs w:val="20"/>
        </w:rPr>
        <w:t>gt de rechter of het</w:t>
      </w:r>
      <w:r w:rsidR="00E14717" w:rsidRPr="008E33DF">
        <w:rPr>
          <w:rFonts w:cs="Helvetica"/>
          <w:szCs w:val="20"/>
        </w:rPr>
        <w:t xml:space="preserve"> tijdelijke karakter van de huur</w:t>
      </w:r>
      <w:r w:rsidR="00D6610A" w:rsidRPr="008E33DF">
        <w:rPr>
          <w:rFonts w:cs="Helvetica"/>
          <w:szCs w:val="20"/>
        </w:rPr>
        <w:t xml:space="preserve"> en bedoelingen van partijen</w:t>
      </w:r>
      <w:r w:rsidR="00B01AB1" w:rsidRPr="008E33DF">
        <w:rPr>
          <w:rFonts w:cs="Helvetica"/>
          <w:szCs w:val="20"/>
        </w:rPr>
        <w:t xml:space="preserve"> terugkomen</w:t>
      </w:r>
      <w:r w:rsidR="00E14717" w:rsidRPr="008E33DF">
        <w:rPr>
          <w:rFonts w:cs="Helvetica"/>
          <w:szCs w:val="20"/>
        </w:rPr>
        <w:t xml:space="preserve"> in de huurovereenkomst. </w:t>
      </w:r>
      <w:r w:rsidR="00446821" w:rsidRPr="008E33DF">
        <w:rPr>
          <w:rFonts w:cs="Helvetica"/>
          <w:szCs w:val="20"/>
        </w:rPr>
        <w:t>In de uitspraak van Rb. Den H</w:t>
      </w:r>
      <w:r w:rsidR="00E14717" w:rsidRPr="008E33DF">
        <w:rPr>
          <w:rFonts w:cs="Helvetica"/>
          <w:szCs w:val="20"/>
        </w:rPr>
        <w:t xml:space="preserve">aag van 30 januari 2013 berust de rechter </w:t>
      </w:r>
      <w:r w:rsidR="002437D1" w:rsidRPr="008E33DF">
        <w:rPr>
          <w:rFonts w:cs="Helvetica"/>
          <w:szCs w:val="20"/>
        </w:rPr>
        <w:t xml:space="preserve">bij </w:t>
      </w:r>
      <w:r w:rsidR="00E14717" w:rsidRPr="008E33DF">
        <w:rPr>
          <w:rFonts w:cs="Helvetica"/>
          <w:szCs w:val="20"/>
        </w:rPr>
        <w:t xml:space="preserve">zijn beslissing niet alleen op de bepalingen van de huurovereenkomst, maar ook op de </w:t>
      </w:r>
      <w:r w:rsidR="002437D1" w:rsidRPr="008E33DF">
        <w:rPr>
          <w:rFonts w:cs="Helvetica"/>
          <w:szCs w:val="20"/>
        </w:rPr>
        <w:t>correspondentie tussen partijen:</w:t>
      </w:r>
      <w:r w:rsidR="008E33DF">
        <w:rPr>
          <w:rFonts w:cs="Helvetica"/>
          <w:i/>
          <w:szCs w:val="20"/>
        </w:rPr>
        <w:t>"</w:t>
      </w:r>
      <w:r w:rsidR="009F06BD" w:rsidRPr="008E33DF">
        <w:rPr>
          <w:rFonts w:cs="Helvetica"/>
          <w:i/>
          <w:szCs w:val="20"/>
        </w:rPr>
        <w:t>althans had het voor hen duidelijk kunnen en moeten zijn, dat de huurovereenkomst een tijdelijk karakter had. Dit te meer gelet op de inhoud van art. 5 van de huurovereenkomst, zoals hiervoor onder</w:t>
      </w:r>
      <w:r w:rsidR="00B01AB1" w:rsidRPr="008E33DF">
        <w:rPr>
          <w:rFonts w:cs="Helvetica"/>
          <w:i/>
          <w:szCs w:val="20"/>
        </w:rPr>
        <w:t xml:space="preserve"> de feiten weergegeven. Daarnaast</w:t>
      </w:r>
      <w:r w:rsidR="009F06BD" w:rsidRPr="008E33DF">
        <w:rPr>
          <w:rFonts w:cs="Helvetica"/>
          <w:i/>
          <w:szCs w:val="20"/>
        </w:rPr>
        <w:t xml:space="preserve"> heeft Duwo (verhuurder) in haar brieven aan de studenten (huurders) ook steeds duidelijk gemaakt dat Rijnfort (het gehuurde) tijdelijke bewoning betrof.</w:t>
      </w:r>
      <w:r w:rsidR="008E33DF">
        <w:rPr>
          <w:rFonts w:cs="Helvetica"/>
          <w:i/>
          <w:szCs w:val="20"/>
        </w:rPr>
        <w:t>"</w:t>
      </w:r>
      <w:r w:rsidR="0092547B" w:rsidRPr="008E33DF">
        <w:rPr>
          <w:rStyle w:val="Voetnootmarkering"/>
          <w:rFonts w:cs="Helvetica"/>
          <w:i/>
          <w:szCs w:val="20"/>
        </w:rPr>
        <w:footnoteReference w:id="56"/>
      </w:r>
      <w:r w:rsidR="00B01AB1" w:rsidRPr="008E33DF">
        <w:rPr>
          <w:rFonts w:cs="Helvetica"/>
          <w:i/>
          <w:szCs w:val="20"/>
        </w:rPr>
        <w:t xml:space="preserve"> </w:t>
      </w:r>
      <w:r w:rsidR="00D6610A" w:rsidRPr="008E33DF">
        <w:rPr>
          <w:rFonts w:cs="Helvetica"/>
          <w:szCs w:val="20"/>
        </w:rPr>
        <w:t>In de vorige paragraaf is duidelijk geworden dat het enkel benoemen in de huurovereenkomst</w:t>
      </w:r>
      <w:r w:rsidR="00B01AB1" w:rsidRPr="008E33DF">
        <w:rPr>
          <w:rFonts w:cs="Helvetica"/>
          <w:szCs w:val="20"/>
        </w:rPr>
        <w:t>,</w:t>
      </w:r>
      <w:r w:rsidR="00D6610A" w:rsidRPr="008E33DF">
        <w:rPr>
          <w:rFonts w:cs="Helvetica"/>
          <w:szCs w:val="20"/>
        </w:rPr>
        <w:t xml:space="preserve"> dat het gaat om een huurovereenkomst van korte duur</w:t>
      </w:r>
      <w:r w:rsidR="00B01AB1" w:rsidRPr="008E33DF">
        <w:rPr>
          <w:rFonts w:cs="Helvetica"/>
          <w:szCs w:val="20"/>
        </w:rPr>
        <w:t>,</w:t>
      </w:r>
      <w:r w:rsidR="00D6610A" w:rsidRPr="008E33DF">
        <w:rPr>
          <w:rFonts w:cs="Helvetica"/>
          <w:szCs w:val="20"/>
        </w:rPr>
        <w:t xml:space="preserve"> onvoldoende is. In de uitspraak van Ktr. Amsterdam van 19 december 2014 erkent de rechter dat ook. Echter</w:t>
      </w:r>
      <w:r w:rsidR="00B01AB1" w:rsidRPr="008E33DF">
        <w:rPr>
          <w:rFonts w:cs="Helvetica"/>
          <w:szCs w:val="20"/>
        </w:rPr>
        <w:t>,</w:t>
      </w:r>
      <w:r w:rsidR="00D6610A" w:rsidRPr="008E33DF">
        <w:rPr>
          <w:rFonts w:cs="Helvetica"/>
          <w:szCs w:val="20"/>
        </w:rPr>
        <w:t xml:space="preserve"> de rechter</w:t>
      </w:r>
      <w:r w:rsidR="00B01AB1" w:rsidRPr="008E33DF">
        <w:rPr>
          <w:rFonts w:cs="Helvetica"/>
          <w:szCs w:val="20"/>
        </w:rPr>
        <w:t xml:space="preserve"> is</w:t>
      </w:r>
      <w:r w:rsidR="00D6610A" w:rsidRPr="008E33DF">
        <w:rPr>
          <w:rFonts w:cs="Helvetica"/>
          <w:szCs w:val="20"/>
        </w:rPr>
        <w:t xml:space="preserve"> van mening dat een benoem</w:t>
      </w:r>
      <w:r w:rsidR="00B01AB1" w:rsidRPr="008E33DF">
        <w:rPr>
          <w:rFonts w:cs="Helvetica"/>
          <w:szCs w:val="20"/>
        </w:rPr>
        <w:t xml:space="preserve">ing </w:t>
      </w:r>
      <w:r w:rsidR="002437D1" w:rsidRPr="008E33DF">
        <w:rPr>
          <w:rFonts w:cs="Helvetica"/>
          <w:szCs w:val="20"/>
        </w:rPr>
        <w:t>als 'aard van korte duur'</w:t>
      </w:r>
      <w:r w:rsidR="00D6610A" w:rsidRPr="008E33DF">
        <w:rPr>
          <w:rFonts w:cs="Helvetica"/>
          <w:szCs w:val="20"/>
        </w:rPr>
        <w:t xml:space="preserve"> </w:t>
      </w:r>
      <w:r w:rsidR="00B01AB1" w:rsidRPr="008E33DF">
        <w:rPr>
          <w:rFonts w:cs="Helvetica"/>
          <w:szCs w:val="20"/>
        </w:rPr>
        <w:t>wel een aanwijzing kan zijn van</w:t>
      </w:r>
      <w:r w:rsidR="00D6610A" w:rsidRPr="008E33DF">
        <w:rPr>
          <w:rFonts w:cs="Helvetica"/>
          <w:szCs w:val="20"/>
        </w:rPr>
        <w:t xml:space="preserve"> de bedoelingen van partijen bij het sluiten van de overeenkomst.</w:t>
      </w:r>
      <w:r w:rsidR="00D6610A" w:rsidRPr="008E33DF">
        <w:rPr>
          <w:rStyle w:val="Voetnootmarkering"/>
          <w:rFonts w:cs="Helvetica"/>
          <w:szCs w:val="20"/>
        </w:rPr>
        <w:footnoteReference w:id="57"/>
      </w:r>
    </w:p>
    <w:p w:rsidR="00D6610A" w:rsidRPr="008E33DF" w:rsidRDefault="00D6610A" w:rsidP="00040133">
      <w:pPr>
        <w:rPr>
          <w:rFonts w:cs="Helvetica"/>
          <w:szCs w:val="20"/>
        </w:rPr>
      </w:pPr>
    </w:p>
    <w:p w:rsidR="00D6610A" w:rsidRPr="008E33DF" w:rsidRDefault="00B01AB1" w:rsidP="00040133">
      <w:pPr>
        <w:rPr>
          <w:rFonts w:cs="Helvetica"/>
          <w:szCs w:val="20"/>
        </w:rPr>
      </w:pPr>
      <w:r w:rsidRPr="008E33DF">
        <w:rPr>
          <w:rFonts w:cs="Helvetica"/>
          <w:szCs w:val="20"/>
        </w:rPr>
        <w:lastRenderedPageBreak/>
        <w:t>Voorts spelen</w:t>
      </w:r>
      <w:r w:rsidR="00D6610A" w:rsidRPr="008E33DF">
        <w:rPr>
          <w:rFonts w:cs="Helvetica"/>
          <w:szCs w:val="20"/>
        </w:rPr>
        <w:t xml:space="preserve"> bij de toegewezen uitspraken </w:t>
      </w:r>
      <w:r w:rsidR="00D6610A" w:rsidRPr="008E33DF">
        <w:rPr>
          <w:rFonts w:cs="Helvetica"/>
          <w:b/>
          <w:szCs w:val="20"/>
        </w:rPr>
        <w:t>de verklaringen van partijen</w:t>
      </w:r>
      <w:r w:rsidR="00D6610A" w:rsidRPr="008E33DF">
        <w:rPr>
          <w:rFonts w:cs="Helvetica"/>
          <w:szCs w:val="20"/>
        </w:rPr>
        <w:t xml:space="preserve"> een doorslaggevende rol. In de meeste zaken erkent de huurder of weerspreekt hij niet dat bij het sluiten van de overeenkomst de partijen de bedoeling hadden om</w:t>
      </w:r>
      <w:r w:rsidRPr="008E33DF">
        <w:rPr>
          <w:rFonts w:cs="Helvetica"/>
          <w:szCs w:val="20"/>
        </w:rPr>
        <w:t xml:space="preserve"> een huur aan te gaan</w:t>
      </w:r>
      <w:r w:rsidR="00D6610A" w:rsidRPr="008E33DF">
        <w:rPr>
          <w:rFonts w:cs="Helvetica"/>
          <w:szCs w:val="20"/>
        </w:rPr>
        <w:t xml:space="preserve"> voor een tijdelijke periode (zie bijlage </w:t>
      </w:r>
      <w:r w:rsidR="0092547B" w:rsidRPr="008E33DF">
        <w:rPr>
          <w:rFonts w:cs="Helvetica"/>
          <w:szCs w:val="20"/>
        </w:rPr>
        <w:t>8</w:t>
      </w:r>
      <w:r w:rsidR="00D6610A" w:rsidRPr="008E33DF">
        <w:rPr>
          <w:rFonts w:cs="Helvetica"/>
          <w:szCs w:val="20"/>
        </w:rPr>
        <w:t>).</w:t>
      </w:r>
    </w:p>
    <w:p w:rsidR="00D6610A" w:rsidRPr="008E33DF" w:rsidRDefault="00D6610A" w:rsidP="00040133">
      <w:pPr>
        <w:rPr>
          <w:rFonts w:cs="Helvetica"/>
          <w:szCs w:val="20"/>
        </w:rPr>
      </w:pPr>
    </w:p>
    <w:p w:rsidR="00D6610A" w:rsidRPr="008E33DF" w:rsidRDefault="00D6610A" w:rsidP="00040133">
      <w:pPr>
        <w:rPr>
          <w:rFonts w:cs="Helvetica"/>
          <w:szCs w:val="20"/>
        </w:rPr>
      </w:pPr>
      <w:r w:rsidRPr="008E33DF">
        <w:rPr>
          <w:rFonts w:cs="Helvetica"/>
          <w:szCs w:val="20"/>
        </w:rPr>
        <w:t xml:space="preserve">Uit de vorige paragraaf is gebleken dat een </w:t>
      </w:r>
      <w:r w:rsidRPr="008E33DF">
        <w:rPr>
          <w:rFonts w:cs="Helvetica"/>
          <w:b/>
          <w:szCs w:val="20"/>
        </w:rPr>
        <w:t>beoogde verkoop, renovatie of sloop</w:t>
      </w:r>
      <w:r w:rsidRPr="008E33DF">
        <w:rPr>
          <w:rFonts w:cs="Helvetica"/>
          <w:szCs w:val="20"/>
        </w:rPr>
        <w:t xml:space="preserve"> een aanwijzing kan zijn dat</w:t>
      </w:r>
      <w:r w:rsidR="000962ED" w:rsidRPr="008E33DF">
        <w:rPr>
          <w:rFonts w:cs="Helvetica"/>
          <w:szCs w:val="20"/>
        </w:rPr>
        <w:t xml:space="preserve"> de bedoelingen</w:t>
      </w:r>
      <w:r w:rsidR="00CB64C9" w:rsidRPr="008E33DF">
        <w:rPr>
          <w:rFonts w:cs="Helvetica"/>
          <w:szCs w:val="20"/>
        </w:rPr>
        <w:t xml:space="preserve"> van partijen een huurovereenkomst</w:t>
      </w:r>
      <w:r w:rsidR="00B01AB1" w:rsidRPr="008E33DF">
        <w:rPr>
          <w:rFonts w:cs="Helvetica"/>
          <w:szCs w:val="20"/>
        </w:rPr>
        <w:t xml:space="preserve"> met een tijdelijk</w:t>
      </w:r>
      <w:r w:rsidRPr="008E33DF">
        <w:rPr>
          <w:rFonts w:cs="Helvetica"/>
          <w:szCs w:val="20"/>
        </w:rPr>
        <w:t xml:space="preserve"> karakter</w:t>
      </w:r>
      <w:r w:rsidR="000962ED" w:rsidRPr="008E33DF">
        <w:rPr>
          <w:rFonts w:cs="Helvetica"/>
          <w:szCs w:val="20"/>
        </w:rPr>
        <w:t xml:space="preserve"> was</w:t>
      </w:r>
      <w:r w:rsidRPr="008E33DF">
        <w:rPr>
          <w:rFonts w:cs="Helvetica"/>
          <w:szCs w:val="20"/>
        </w:rPr>
        <w:t xml:space="preserve">. Uit </w:t>
      </w:r>
      <w:r w:rsidR="00B01AB1" w:rsidRPr="008E33DF">
        <w:rPr>
          <w:rFonts w:cs="Helvetica"/>
          <w:szCs w:val="20"/>
        </w:rPr>
        <w:t>t</w:t>
      </w:r>
      <w:r w:rsidRPr="008E33DF">
        <w:rPr>
          <w:rFonts w:cs="Helvetica"/>
          <w:szCs w:val="20"/>
        </w:rPr>
        <w:t xml:space="preserve">abel 8 is af te lezen dat dit ook het geval kan zijn bij een </w:t>
      </w:r>
      <w:r w:rsidRPr="008E33DF">
        <w:rPr>
          <w:rFonts w:cs="Helvetica"/>
          <w:b/>
          <w:szCs w:val="20"/>
        </w:rPr>
        <w:t>beoogde doorstroming</w:t>
      </w:r>
      <w:r w:rsidR="00B01AB1" w:rsidRPr="008E33DF">
        <w:rPr>
          <w:rFonts w:cs="Helvetica"/>
          <w:b/>
          <w:szCs w:val="20"/>
        </w:rPr>
        <w:t xml:space="preserve"> </w:t>
      </w:r>
      <w:r w:rsidR="00496099" w:rsidRPr="008E33DF">
        <w:rPr>
          <w:rFonts w:cs="Helvetica"/>
          <w:szCs w:val="20"/>
        </w:rPr>
        <w:t>van de huurder</w:t>
      </w:r>
      <w:r w:rsidRPr="008E33DF">
        <w:rPr>
          <w:rFonts w:cs="Helvetica"/>
          <w:szCs w:val="20"/>
        </w:rPr>
        <w:t>. Een voorbeeld hiervan is te vinden in de uitspraak van Rb. Amsterdam van 17 juli 2008.</w:t>
      </w:r>
      <w:r w:rsidR="00DF0EE4" w:rsidRPr="008E33DF">
        <w:rPr>
          <w:rFonts w:cs="Helvetica"/>
          <w:szCs w:val="20"/>
        </w:rPr>
        <w:t xml:space="preserve"> In deze zaak erkent de huurder</w:t>
      </w:r>
      <w:r w:rsidR="00B01AB1" w:rsidRPr="008E33DF">
        <w:rPr>
          <w:rFonts w:cs="Helvetica"/>
          <w:szCs w:val="20"/>
        </w:rPr>
        <w:t xml:space="preserve">, dat hij bij het aangaan van de huurovereenkomst, </w:t>
      </w:r>
      <w:r w:rsidRPr="008E33DF">
        <w:rPr>
          <w:rFonts w:cs="Helvetica"/>
          <w:szCs w:val="20"/>
        </w:rPr>
        <w:t>te hebben aangegeven aan de verhuurder</w:t>
      </w:r>
      <w:r w:rsidR="00B01AB1" w:rsidRPr="008E33DF">
        <w:rPr>
          <w:rFonts w:cs="Helvetica"/>
          <w:szCs w:val="20"/>
        </w:rPr>
        <w:t>, dat hij</w:t>
      </w:r>
      <w:r w:rsidRPr="008E33DF">
        <w:rPr>
          <w:rFonts w:cs="Helvetica"/>
          <w:szCs w:val="20"/>
        </w:rPr>
        <w:t xml:space="preserve"> </w:t>
      </w:r>
      <w:r w:rsidR="00B01AB1" w:rsidRPr="008E33DF">
        <w:rPr>
          <w:rFonts w:cs="Helvetica"/>
          <w:szCs w:val="20"/>
        </w:rPr>
        <w:t>op zoek zou</w:t>
      </w:r>
      <w:r w:rsidRPr="008E33DF">
        <w:rPr>
          <w:rFonts w:cs="Helvetica"/>
          <w:szCs w:val="20"/>
        </w:rPr>
        <w:t xml:space="preserve"> gaan naar een andere woning.</w:t>
      </w:r>
      <w:r w:rsidRPr="008E33DF">
        <w:rPr>
          <w:rStyle w:val="Voetnootmarkering"/>
          <w:rFonts w:cs="Helvetica"/>
          <w:szCs w:val="20"/>
        </w:rPr>
        <w:footnoteReference w:id="58"/>
      </w:r>
    </w:p>
    <w:p w:rsidR="00D6610A" w:rsidRPr="008E33DF" w:rsidRDefault="00D6610A" w:rsidP="00040133">
      <w:pPr>
        <w:rPr>
          <w:rFonts w:cs="Helvetica"/>
          <w:szCs w:val="20"/>
        </w:rPr>
      </w:pPr>
    </w:p>
    <w:p w:rsidR="00D6610A" w:rsidRPr="008E33DF" w:rsidRDefault="001704F2" w:rsidP="005E7558">
      <w:pPr>
        <w:pStyle w:val="Kop3"/>
      </w:pPr>
      <w:bookmarkStart w:id="51" w:name="_Toc454253679"/>
      <w:r w:rsidRPr="008E33DF">
        <w:t>5.</w:t>
      </w:r>
      <w:r w:rsidR="00BA7983">
        <w:t>4</w:t>
      </w:r>
      <w:r w:rsidRPr="008E33DF">
        <w:t>.3 Conclusie:</w:t>
      </w:r>
      <w:r w:rsidR="005E7558" w:rsidRPr="008E33DF">
        <w:t xml:space="preserve"> bedoelingen van partijen</w:t>
      </w:r>
      <w:bookmarkEnd w:id="51"/>
    </w:p>
    <w:p w:rsidR="00D6610A" w:rsidRPr="008E33DF" w:rsidRDefault="00B01AB1" w:rsidP="00040133">
      <w:pPr>
        <w:rPr>
          <w:rFonts w:cs="Helvetica"/>
          <w:szCs w:val="20"/>
        </w:rPr>
      </w:pPr>
      <w:r w:rsidRPr="008E33DF">
        <w:rPr>
          <w:rFonts w:cs="Helvetica"/>
          <w:szCs w:val="20"/>
        </w:rPr>
        <w:t>In deze paragraaf is</w:t>
      </w:r>
      <w:r w:rsidR="00CD25C3" w:rsidRPr="008E33DF">
        <w:rPr>
          <w:rFonts w:cs="Helvetica"/>
          <w:szCs w:val="20"/>
        </w:rPr>
        <w:t xml:space="preserve"> de </w:t>
      </w:r>
      <w:r w:rsidR="00D6610A" w:rsidRPr="008E33DF">
        <w:rPr>
          <w:rFonts w:cs="Helvetica"/>
          <w:szCs w:val="20"/>
        </w:rPr>
        <w:t>bedoelingen van partijen behandeld. Het is gebleken dat de rechter</w:t>
      </w:r>
      <w:r w:rsidR="000E6862" w:rsidRPr="008E33DF">
        <w:rPr>
          <w:rFonts w:cs="Helvetica"/>
          <w:szCs w:val="20"/>
        </w:rPr>
        <w:t xml:space="preserve"> bij het toetsen aan deze beoordelingsfactor</w:t>
      </w:r>
      <w:r w:rsidR="00D6610A" w:rsidRPr="008E33DF">
        <w:rPr>
          <w:rFonts w:cs="Helvetica"/>
          <w:szCs w:val="20"/>
        </w:rPr>
        <w:t xml:space="preserve"> vooral kijkt naar aanwijzingen i</w:t>
      </w:r>
      <w:r w:rsidR="00CD25C3" w:rsidRPr="008E33DF">
        <w:rPr>
          <w:rFonts w:cs="Helvetica"/>
          <w:szCs w:val="20"/>
        </w:rPr>
        <w:t>n de huurovereenkoms</w:t>
      </w:r>
      <w:r w:rsidR="0040551B" w:rsidRPr="008E33DF">
        <w:rPr>
          <w:rFonts w:cs="Helvetica"/>
          <w:szCs w:val="20"/>
        </w:rPr>
        <w:t>t</w:t>
      </w:r>
      <w:r w:rsidR="000E6862" w:rsidRPr="008E33DF">
        <w:rPr>
          <w:rFonts w:cs="Helvetica"/>
          <w:szCs w:val="20"/>
        </w:rPr>
        <w:t xml:space="preserve"> en,</w:t>
      </w:r>
      <w:r w:rsidR="0040551B" w:rsidRPr="008E33DF">
        <w:rPr>
          <w:rFonts w:cs="Helvetica"/>
          <w:szCs w:val="20"/>
        </w:rPr>
        <w:t xml:space="preserve"> </w:t>
      </w:r>
      <w:r w:rsidR="00D6610A" w:rsidRPr="008E33DF">
        <w:rPr>
          <w:rFonts w:cs="Helvetica"/>
          <w:szCs w:val="20"/>
        </w:rPr>
        <w:t>of correspondentie. Dit blijkt zowel uit de afgewezen als</w:t>
      </w:r>
      <w:r w:rsidR="000E6862" w:rsidRPr="008E33DF">
        <w:rPr>
          <w:rFonts w:cs="Helvetica"/>
          <w:szCs w:val="20"/>
        </w:rPr>
        <w:t xml:space="preserve"> de</w:t>
      </w:r>
      <w:r w:rsidR="00D6610A" w:rsidRPr="008E33DF">
        <w:rPr>
          <w:rFonts w:cs="Helvetica"/>
          <w:szCs w:val="20"/>
        </w:rPr>
        <w:t xml:space="preserve"> toegewezen uitspraken. De rechter overweegt voornamelijk of in de huurovereenkomst voldoende aannemelijk is gemaakt dat de huurovereenkomst een tijdelijk karakter heeft. </w:t>
      </w:r>
      <w:r w:rsidR="00866C86" w:rsidRPr="008E33DF">
        <w:rPr>
          <w:rFonts w:cs="Helvetica"/>
          <w:szCs w:val="20"/>
        </w:rPr>
        <w:t>Ook d</w:t>
      </w:r>
      <w:r w:rsidR="00CD25C3" w:rsidRPr="008E33DF">
        <w:rPr>
          <w:rFonts w:cs="Helvetica"/>
          <w:szCs w:val="20"/>
        </w:rPr>
        <w:t>e</w:t>
      </w:r>
      <w:r w:rsidR="00D6610A" w:rsidRPr="008E33DF">
        <w:rPr>
          <w:rFonts w:cs="Helvetica"/>
          <w:szCs w:val="20"/>
        </w:rPr>
        <w:t xml:space="preserve"> bedoelingen van  partijen</w:t>
      </w:r>
      <w:r w:rsidR="00CD25C3" w:rsidRPr="008E33DF">
        <w:rPr>
          <w:rFonts w:cs="Helvetica"/>
          <w:szCs w:val="20"/>
        </w:rPr>
        <w:t xml:space="preserve"> moeten</w:t>
      </w:r>
      <w:r w:rsidR="00D6610A" w:rsidRPr="008E33DF">
        <w:rPr>
          <w:rFonts w:cs="Helvetica"/>
          <w:szCs w:val="20"/>
        </w:rPr>
        <w:t xml:space="preserve"> duidelijk blijken uit de huurovereenkomst. Een enkele vermelding in de </w:t>
      </w:r>
      <w:r w:rsidR="00866C86" w:rsidRPr="008E33DF">
        <w:rPr>
          <w:rFonts w:cs="Helvetica"/>
          <w:szCs w:val="20"/>
        </w:rPr>
        <w:t>huur</w:t>
      </w:r>
      <w:r w:rsidR="00D6610A" w:rsidRPr="008E33DF">
        <w:rPr>
          <w:rFonts w:cs="Helvetica"/>
          <w:szCs w:val="20"/>
        </w:rPr>
        <w:t>overeenkomst dat de overeenkomst naar zijn aard van korte duur is</w:t>
      </w:r>
      <w:r w:rsidR="00CD25C3" w:rsidRPr="008E33DF">
        <w:rPr>
          <w:rFonts w:cs="Helvetica"/>
          <w:szCs w:val="20"/>
        </w:rPr>
        <w:t>, is</w:t>
      </w:r>
      <w:r w:rsidR="00D6610A" w:rsidRPr="008E33DF">
        <w:rPr>
          <w:rFonts w:cs="Helvetica"/>
          <w:szCs w:val="20"/>
        </w:rPr>
        <w:t xml:space="preserve"> onvoldoende. Echter</w:t>
      </w:r>
      <w:r w:rsidR="000E6862" w:rsidRPr="008E33DF">
        <w:rPr>
          <w:rFonts w:cs="Helvetica"/>
          <w:szCs w:val="20"/>
        </w:rPr>
        <w:t>,</w:t>
      </w:r>
      <w:r w:rsidR="00D6610A" w:rsidRPr="008E33DF">
        <w:rPr>
          <w:rFonts w:cs="Helvetica"/>
          <w:szCs w:val="20"/>
        </w:rPr>
        <w:t xml:space="preserve"> dit</w:t>
      </w:r>
      <w:r w:rsidR="000E6862" w:rsidRPr="008E33DF">
        <w:rPr>
          <w:rFonts w:cs="Helvetica"/>
          <w:szCs w:val="20"/>
        </w:rPr>
        <w:t xml:space="preserve"> kan</w:t>
      </w:r>
      <w:r w:rsidR="00D6610A" w:rsidRPr="008E33DF">
        <w:rPr>
          <w:rFonts w:cs="Helvetica"/>
          <w:szCs w:val="20"/>
        </w:rPr>
        <w:t xml:space="preserve"> voor de rechter wel een aanwijzing zijn dat dit wel de bedoeling was van partijen bij het sluiten van de huurovereenkomst. Ook de advertentie waarin de woonruimte is aangeboden</w:t>
      </w:r>
      <w:r w:rsidR="000E6862" w:rsidRPr="008E33DF">
        <w:rPr>
          <w:rFonts w:cs="Helvetica"/>
          <w:szCs w:val="20"/>
        </w:rPr>
        <w:t>, kan</w:t>
      </w:r>
      <w:r w:rsidR="00D6610A" w:rsidRPr="008E33DF">
        <w:rPr>
          <w:rFonts w:cs="Helvetica"/>
          <w:szCs w:val="20"/>
        </w:rPr>
        <w:t xml:space="preserve"> aanwijzingen bevatten voor de rechter.</w:t>
      </w:r>
    </w:p>
    <w:p w:rsidR="00D6610A" w:rsidRPr="008E33DF" w:rsidRDefault="00D6610A" w:rsidP="00040133">
      <w:pPr>
        <w:rPr>
          <w:rFonts w:cs="Helvetica"/>
          <w:szCs w:val="20"/>
        </w:rPr>
      </w:pPr>
    </w:p>
    <w:p w:rsidR="00D6610A" w:rsidRPr="008E33DF" w:rsidRDefault="00D6610A" w:rsidP="00040133">
      <w:pPr>
        <w:rPr>
          <w:rFonts w:cs="Helvetica"/>
          <w:szCs w:val="20"/>
        </w:rPr>
      </w:pPr>
      <w:r w:rsidRPr="008E33DF">
        <w:rPr>
          <w:rFonts w:cs="Helvetica"/>
          <w:szCs w:val="20"/>
        </w:rPr>
        <w:t xml:space="preserve">De bedoelingen van partijen </w:t>
      </w:r>
      <w:r w:rsidR="000E6862" w:rsidRPr="008E33DF">
        <w:rPr>
          <w:rFonts w:cs="Helvetica"/>
          <w:szCs w:val="20"/>
        </w:rPr>
        <w:t>kunnen</w:t>
      </w:r>
      <w:r w:rsidRPr="008E33DF">
        <w:rPr>
          <w:rFonts w:cs="Helvetica"/>
          <w:szCs w:val="20"/>
        </w:rPr>
        <w:t xml:space="preserve"> ook blijken uit de beoogde verkoop, renovatie of sloop van de woonruimte door de verhuurder. De verhuurder dient wel aantoonbaar te maken dat de huurder op de hoogte was van de beoogde verkoop, renovatie of sloop ten tijde van het sluiten van de huurovereenkomst en</w:t>
      </w:r>
      <w:r w:rsidR="000E6862" w:rsidRPr="008E33DF">
        <w:rPr>
          <w:rFonts w:cs="Helvetica"/>
          <w:szCs w:val="20"/>
        </w:rPr>
        <w:t xml:space="preserve"> dat hij</w:t>
      </w:r>
      <w:r w:rsidRPr="008E33DF">
        <w:rPr>
          <w:rFonts w:cs="Helvetica"/>
          <w:szCs w:val="20"/>
        </w:rPr>
        <w:t xml:space="preserve"> hiermee ook heeft ingestemd. </w:t>
      </w:r>
      <w:r w:rsidR="00846B5D" w:rsidRPr="008E33DF">
        <w:rPr>
          <w:rFonts w:cs="Helvetica"/>
          <w:szCs w:val="20"/>
        </w:rPr>
        <w:t>Ook</w:t>
      </w:r>
      <w:r w:rsidR="000E6862" w:rsidRPr="008E33DF">
        <w:rPr>
          <w:rFonts w:cs="Helvetica"/>
          <w:szCs w:val="20"/>
        </w:rPr>
        <w:t xml:space="preserve"> </w:t>
      </w:r>
      <w:r w:rsidR="00846B5D" w:rsidRPr="008E33DF">
        <w:rPr>
          <w:rFonts w:cs="Helvetica"/>
          <w:szCs w:val="20"/>
        </w:rPr>
        <w:t>kan</w:t>
      </w:r>
      <w:r w:rsidRPr="008E33DF">
        <w:rPr>
          <w:rFonts w:cs="Helvetica"/>
          <w:szCs w:val="20"/>
        </w:rPr>
        <w:t xml:space="preserve"> uit de beoogde doorstroming van de huurder blijken dat partijen een huurovereen</w:t>
      </w:r>
      <w:r w:rsidR="00CD25C3" w:rsidRPr="008E33DF">
        <w:rPr>
          <w:rFonts w:cs="Helvetica"/>
          <w:szCs w:val="20"/>
        </w:rPr>
        <w:t>komst voor ogen hebben gehad</w:t>
      </w:r>
      <w:r w:rsidR="000E6862" w:rsidRPr="008E33DF">
        <w:rPr>
          <w:rFonts w:cs="Helvetica"/>
          <w:szCs w:val="20"/>
        </w:rPr>
        <w:t>,</w:t>
      </w:r>
      <w:r w:rsidR="00CD25C3" w:rsidRPr="008E33DF">
        <w:rPr>
          <w:rFonts w:cs="Helvetica"/>
          <w:szCs w:val="20"/>
        </w:rPr>
        <w:t xml:space="preserve"> die</w:t>
      </w:r>
      <w:r w:rsidRPr="008E33DF">
        <w:rPr>
          <w:rFonts w:cs="Helvetica"/>
          <w:szCs w:val="20"/>
        </w:rPr>
        <w:t xml:space="preserve"> naar zijn aard van korte duur is.</w:t>
      </w:r>
    </w:p>
    <w:p w:rsidR="00D6610A" w:rsidRPr="008E33DF" w:rsidRDefault="00D6610A" w:rsidP="00040133">
      <w:pPr>
        <w:rPr>
          <w:rFonts w:cs="Helvetica"/>
          <w:szCs w:val="20"/>
        </w:rPr>
      </w:pPr>
    </w:p>
    <w:p w:rsidR="00D6610A" w:rsidRPr="008E33DF" w:rsidRDefault="00846B5D" w:rsidP="00040133">
      <w:pPr>
        <w:rPr>
          <w:rFonts w:cs="Helvetica"/>
          <w:szCs w:val="20"/>
        </w:rPr>
      </w:pPr>
      <w:r w:rsidRPr="008E33DF">
        <w:rPr>
          <w:rFonts w:cs="Helvetica"/>
          <w:szCs w:val="20"/>
        </w:rPr>
        <w:t>Voorts</w:t>
      </w:r>
      <w:r w:rsidR="00D6610A" w:rsidRPr="008E33DF">
        <w:rPr>
          <w:rFonts w:cs="Helvetica"/>
          <w:szCs w:val="20"/>
        </w:rPr>
        <w:t xml:space="preserve"> is gebleken dat ook de verklaring van partijen bepalend kan zijn bij de beoordeling van de rechter.</w:t>
      </w:r>
      <w:r w:rsidR="000E6862" w:rsidRPr="008E33DF">
        <w:rPr>
          <w:rFonts w:cs="Helvetica"/>
          <w:szCs w:val="20"/>
        </w:rPr>
        <w:t xml:space="preserve"> Uit</w:t>
      </w:r>
      <w:r w:rsidR="00793873" w:rsidRPr="008E33DF">
        <w:rPr>
          <w:rFonts w:cs="Helvetica"/>
          <w:szCs w:val="20"/>
        </w:rPr>
        <w:t xml:space="preserve"> de afgewezen uitspraken is gebleken dat tegenstrijdige verklaringen van partijen</w:t>
      </w:r>
      <w:r w:rsidR="000E6862" w:rsidRPr="008E33DF">
        <w:rPr>
          <w:rFonts w:cs="Helvetica"/>
          <w:szCs w:val="20"/>
        </w:rPr>
        <w:t xml:space="preserve"> er</w:t>
      </w:r>
      <w:r w:rsidR="00793873" w:rsidRPr="008E33DF">
        <w:rPr>
          <w:rFonts w:cs="Helvetica"/>
          <w:szCs w:val="20"/>
        </w:rPr>
        <w:t xml:space="preserve"> blijk </w:t>
      </w:r>
      <w:r w:rsidR="00CD25C3" w:rsidRPr="008E33DF">
        <w:rPr>
          <w:rFonts w:cs="Helvetica"/>
          <w:szCs w:val="20"/>
        </w:rPr>
        <w:t>van</w:t>
      </w:r>
      <w:r w:rsidR="000E6862" w:rsidRPr="008E33DF">
        <w:rPr>
          <w:rFonts w:cs="Helvetica"/>
          <w:szCs w:val="20"/>
        </w:rPr>
        <w:t xml:space="preserve"> geven, dat de</w:t>
      </w:r>
      <w:r w:rsidR="00CD25C3" w:rsidRPr="008E33DF">
        <w:rPr>
          <w:rFonts w:cs="Helvetica"/>
          <w:szCs w:val="20"/>
        </w:rPr>
        <w:t xml:space="preserve"> </w:t>
      </w:r>
      <w:r w:rsidR="00793873" w:rsidRPr="008E33DF">
        <w:rPr>
          <w:rFonts w:cs="Helvetica"/>
          <w:szCs w:val="20"/>
        </w:rPr>
        <w:t xml:space="preserve">bedoeling van partijen </w:t>
      </w:r>
      <w:r w:rsidR="00CD25C3" w:rsidRPr="008E33DF">
        <w:rPr>
          <w:rFonts w:cs="Helvetica"/>
          <w:szCs w:val="20"/>
        </w:rPr>
        <w:t>niet duidelijk zijn</w:t>
      </w:r>
      <w:r w:rsidR="00793873" w:rsidRPr="008E33DF">
        <w:rPr>
          <w:rFonts w:cs="Helvetica"/>
          <w:szCs w:val="20"/>
        </w:rPr>
        <w:t xml:space="preserve"> geweest voor elkaar. In de toegewezen zaken hebben we gezien dat de partijen</w:t>
      </w:r>
      <w:r w:rsidR="000E6862" w:rsidRPr="008E33DF">
        <w:rPr>
          <w:rFonts w:cs="Helvetica"/>
          <w:szCs w:val="20"/>
        </w:rPr>
        <w:t xml:space="preserve"> in de meeste gevallen</w:t>
      </w:r>
      <w:r w:rsidR="00793873" w:rsidRPr="008E33DF">
        <w:rPr>
          <w:rFonts w:cs="Helvetica"/>
          <w:szCs w:val="20"/>
        </w:rPr>
        <w:t xml:space="preserve"> erkennen</w:t>
      </w:r>
      <w:r w:rsidR="000E6862" w:rsidRPr="008E33DF">
        <w:rPr>
          <w:rFonts w:cs="Helvetica"/>
          <w:szCs w:val="20"/>
        </w:rPr>
        <w:t>,</w:t>
      </w:r>
      <w:r w:rsidR="00793873" w:rsidRPr="008E33DF">
        <w:rPr>
          <w:rFonts w:cs="Helvetica"/>
          <w:szCs w:val="20"/>
        </w:rPr>
        <w:t xml:space="preserve"> dat</w:t>
      </w:r>
      <w:r w:rsidR="000E6862" w:rsidRPr="008E33DF">
        <w:rPr>
          <w:rFonts w:cs="Helvetica"/>
          <w:szCs w:val="20"/>
        </w:rPr>
        <w:t xml:space="preserve"> zij</w:t>
      </w:r>
      <w:r w:rsidR="00793873" w:rsidRPr="008E33DF">
        <w:rPr>
          <w:rFonts w:cs="Helvetica"/>
          <w:szCs w:val="20"/>
        </w:rPr>
        <w:t xml:space="preserve"> ten tijde van het sluiten van de huurovereenkomst wisten dat de huurovereenkomst een tijdelijk karakter zou hebben. </w:t>
      </w:r>
    </w:p>
    <w:p w:rsidR="00D6610A" w:rsidRPr="008E33DF" w:rsidRDefault="00D6610A" w:rsidP="00040133">
      <w:pPr>
        <w:rPr>
          <w:rFonts w:cs="Helvetica"/>
          <w:szCs w:val="20"/>
        </w:rPr>
      </w:pPr>
    </w:p>
    <w:p w:rsidR="00846B5D" w:rsidRPr="008E33DF" w:rsidRDefault="00846B5D" w:rsidP="00040133">
      <w:pPr>
        <w:rPr>
          <w:rFonts w:cs="Helvetica"/>
          <w:szCs w:val="20"/>
        </w:rPr>
      </w:pPr>
      <w:r w:rsidRPr="008E33DF">
        <w:rPr>
          <w:rFonts w:cs="Helvetica"/>
          <w:szCs w:val="20"/>
        </w:rPr>
        <w:t>Ten slotte is in deze paragraaf opgemerkt dat</w:t>
      </w:r>
      <w:r w:rsidR="000E6862" w:rsidRPr="008E33DF">
        <w:rPr>
          <w:rFonts w:cs="Helvetica"/>
          <w:szCs w:val="20"/>
        </w:rPr>
        <w:t xml:space="preserve"> de rechter</w:t>
      </w:r>
      <w:r w:rsidRPr="008E33DF">
        <w:rPr>
          <w:rFonts w:cs="Helvetica"/>
          <w:szCs w:val="20"/>
        </w:rPr>
        <w:t xml:space="preserve"> in </w:t>
      </w:r>
      <w:r w:rsidR="000E6862" w:rsidRPr="008E33DF">
        <w:rPr>
          <w:rFonts w:cs="Helvetica"/>
          <w:szCs w:val="20"/>
        </w:rPr>
        <w:t>vijf</w:t>
      </w:r>
      <w:r w:rsidRPr="008E33DF">
        <w:rPr>
          <w:rFonts w:cs="Helvetica"/>
          <w:szCs w:val="20"/>
        </w:rPr>
        <w:t xml:space="preserve"> uitspraken heeft </w:t>
      </w:r>
      <w:r w:rsidR="000E6862" w:rsidRPr="008E33DF">
        <w:rPr>
          <w:rFonts w:cs="Helvetica"/>
          <w:szCs w:val="20"/>
        </w:rPr>
        <w:t>g</w:t>
      </w:r>
      <w:r w:rsidRPr="008E33DF">
        <w:rPr>
          <w:rFonts w:cs="Helvetica"/>
          <w:szCs w:val="20"/>
        </w:rPr>
        <w:t>eoordeeld</w:t>
      </w:r>
      <w:r w:rsidR="000E6862" w:rsidRPr="008E33DF">
        <w:rPr>
          <w:rFonts w:cs="Helvetica"/>
          <w:szCs w:val="20"/>
        </w:rPr>
        <w:t>,</w:t>
      </w:r>
      <w:r w:rsidRPr="008E33DF">
        <w:rPr>
          <w:rFonts w:cs="Helvetica"/>
          <w:szCs w:val="20"/>
        </w:rPr>
        <w:t xml:space="preserve"> dat op grond van de bedoelingen van partijen aannemelijk is</w:t>
      </w:r>
      <w:r w:rsidR="00866C86" w:rsidRPr="008E33DF">
        <w:rPr>
          <w:rFonts w:cs="Helvetica"/>
          <w:szCs w:val="20"/>
        </w:rPr>
        <w:t xml:space="preserve"> geworden</w:t>
      </w:r>
      <w:r w:rsidR="00CD25C3" w:rsidRPr="008E33DF">
        <w:rPr>
          <w:rFonts w:cs="Helvetica"/>
          <w:szCs w:val="20"/>
        </w:rPr>
        <w:t xml:space="preserve"> dat de huurovereenkomst</w:t>
      </w:r>
      <w:r w:rsidRPr="008E33DF">
        <w:rPr>
          <w:rFonts w:cs="Helvetica"/>
          <w:szCs w:val="20"/>
        </w:rPr>
        <w:t xml:space="preserve"> naar zijn aard van korte duur is. Het beroep op art. 7:232 lid 2</w:t>
      </w:r>
      <w:r w:rsidR="00866C86" w:rsidRPr="008E33DF">
        <w:rPr>
          <w:rFonts w:cs="Helvetica"/>
          <w:szCs w:val="20"/>
        </w:rPr>
        <w:t xml:space="preserve"> BW</w:t>
      </w:r>
      <w:r w:rsidRPr="008E33DF">
        <w:rPr>
          <w:rFonts w:cs="Helvetica"/>
          <w:szCs w:val="20"/>
        </w:rPr>
        <w:t xml:space="preserve"> is echter afgewezen op grond van andere </w:t>
      </w:r>
      <w:r w:rsidRPr="008E33DF">
        <w:rPr>
          <w:rFonts w:cs="Helvetica"/>
          <w:szCs w:val="20"/>
        </w:rPr>
        <w:lastRenderedPageBreak/>
        <w:t xml:space="preserve">factoren. Dit leidt tot </w:t>
      </w:r>
      <w:r w:rsidR="00CD25C3" w:rsidRPr="008E33DF">
        <w:rPr>
          <w:rFonts w:cs="Helvetica"/>
          <w:szCs w:val="20"/>
        </w:rPr>
        <w:t xml:space="preserve">de </w:t>
      </w:r>
      <w:r w:rsidRPr="008E33DF">
        <w:rPr>
          <w:rFonts w:cs="Helvetica"/>
          <w:szCs w:val="20"/>
        </w:rPr>
        <w:t>conclusie dat d</w:t>
      </w:r>
      <w:r w:rsidR="000E6862" w:rsidRPr="008E33DF">
        <w:rPr>
          <w:rFonts w:cs="Helvetica"/>
          <w:szCs w:val="20"/>
        </w:rPr>
        <w:t>e bedoelingen van partijen g</w:t>
      </w:r>
      <w:r w:rsidRPr="008E33DF">
        <w:rPr>
          <w:rFonts w:cs="Helvetica"/>
          <w:szCs w:val="20"/>
        </w:rPr>
        <w:t xml:space="preserve">een doorslaggevende factor </w:t>
      </w:r>
      <w:r w:rsidR="000E6862" w:rsidRPr="008E33DF">
        <w:rPr>
          <w:rFonts w:cs="Helvetica"/>
          <w:szCs w:val="20"/>
        </w:rPr>
        <w:t>zijn</w:t>
      </w:r>
      <w:r w:rsidRPr="008E33DF">
        <w:rPr>
          <w:rFonts w:cs="Helvetica"/>
          <w:szCs w:val="20"/>
        </w:rPr>
        <w:t xml:space="preserve"> ten opzichte van de andere factoren.</w:t>
      </w:r>
    </w:p>
    <w:p w:rsidR="000E6862" w:rsidRPr="008E33DF" w:rsidRDefault="000E6862" w:rsidP="00040133">
      <w:pPr>
        <w:rPr>
          <w:rFonts w:cs="Helvetica"/>
          <w:szCs w:val="20"/>
        </w:rPr>
      </w:pPr>
    </w:p>
    <w:p w:rsidR="00FF5B1D" w:rsidRPr="008E33DF" w:rsidRDefault="00BA7983" w:rsidP="005E7558">
      <w:pPr>
        <w:pStyle w:val="Kop2"/>
      </w:pPr>
      <w:bookmarkStart w:id="52" w:name="_Toc454253680"/>
      <w:r>
        <w:t>5.5</w:t>
      </w:r>
      <w:r w:rsidR="00FF5B1D" w:rsidRPr="008E33DF">
        <w:t xml:space="preserve"> Duur van het gebruik</w:t>
      </w:r>
      <w:bookmarkEnd w:id="52"/>
    </w:p>
    <w:p w:rsidR="00FF5B1D" w:rsidRPr="008E33DF" w:rsidRDefault="00FF5B1D" w:rsidP="00FF5B1D">
      <w:pPr>
        <w:rPr>
          <w:rFonts w:cs="Helvetica"/>
          <w:szCs w:val="20"/>
        </w:rPr>
      </w:pPr>
      <w:r w:rsidRPr="008E33DF">
        <w:rPr>
          <w:rFonts w:cs="Helvetica"/>
          <w:szCs w:val="20"/>
        </w:rPr>
        <w:t>In de</w:t>
      </w:r>
      <w:r w:rsidR="00CD25C3" w:rsidRPr="008E33DF">
        <w:rPr>
          <w:rFonts w:cs="Helvetica"/>
          <w:szCs w:val="20"/>
        </w:rPr>
        <w:t>ze paragraaf wordt de</w:t>
      </w:r>
      <w:r w:rsidR="000E6862" w:rsidRPr="008E33DF">
        <w:rPr>
          <w:rFonts w:cs="Helvetica"/>
          <w:szCs w:val="20"/>
        </w:rPr>
        <w:t xml:space="preserve"> factor</w:t>
      </w:r>
      <w:r w:rsidRPr="008E33DF">
        <w:rPr>
          <w:rFonts w:cs="Helvetica"/>
          <w:szCs w:val="20"/>
        </w:rPr>
        <w:t xml:space="preserve"> </w:t>
      </w:r>
      <w:r w:rsidR="000E6862" w:rsidRPr="008E33DF">
        <w:rPr>
          <w:rFonts w:cs="Helvetica"/>
          <w:szCs w:val="20"/>
        </w:rPr>
        <w:t>'</w:t>
      </w:r>
      <w:r w:rsidRPr="008E33DF">
        <w:rPr>
          <w:rFonts w:cs="Helvetica"/>
          <w:szCs w:val="20"/>
        </w:rPr>
        <w:t>duur van het</w:t>
      </w:r>
      <w:r w:rsidR="00CD25C3" w:rsidRPr="008E33DF">
        <w:rPr>
          <w:rFonts w:cs="Helvetica"/>
          <w:szCs w:val="20"/>
        </w:rPr>
        <w:t xml:space="preserve"> gebruik</w:t>
      </w:r>
      <w:r w:rsidR="000E6862" w:rsidRPr="008E33DF">
        <w:rPr>
          <w:rFonts w:cs="Helvetica"/>
          <w:szCs w:val="20"/>
        </w:rPr>
        <w:t>' behandeld</w:t>
      </w:r>
      <w:r w:rsidR="00CD25C3" w:rsidRPr="008E33DF">
        <w:rPr>
          <w:rFonts w:cs="Helvetica"/>
          <w:szCs w:val="20"/>
        </w:rPr>
        <w:t>. Eerst worden</w:t>
      </w:r>
      <w:r w:rsidRPr="008E33DF">
        <w:rPr>
          <w:rFonts w:cs="Helvetica"/>
          <w:szCs w:val="20"/>
        </w:rPr>
        <w:t xml:space="preserve"> de feiten en omstandigheden</w:t>
      </w:r>
      <w:r w:rsidR="000E6862" w:rsidRPr="008E33DF">
        <w:rPr>
          <w:rFonts w:cs="Helvetica"/>
          <w:szCs w:val="20"/>
        </w:rPr>
        <w:t xml:space="preserve"> behandeld</w:t>
      </w:r>
      <w:r w:rsidRPr="008E33DF">
        <w:rPr>
          <w:rFonts w:cs="Helvetica"/>
          <w:szCs w:val="20"/>
        </w:rPr>
        <w:t xml:space="preserve"> uit de uitspraken waarbij het beroep op art. 7:232 lid 2 BW wor</w:t>
      </w:r>
      <w:r w:rsidR="000E6862" w:rsidRPr="008E33DF">
        <w:rPr>
          <w:rFonts w:cs="Helvetica"/>
          <w:szCs w:val="20"/>
        </w:rPr>
        <w:t>dt afgewezen</w:t>
      </w:r>
      <w:r w:rsidR="00CD25C3" w:rsidRPr="008E33DF">
        <w:rPr>
          <w:rFonts w:cs="Helvetica"/>
          <w:szCs w:val="20"/>
        </w:rPr>
        <w:t xml:space="preserve">. Vervolgens komen </w:t>
      </w:r>
      <w:r w:rsidRPr="008E33DF">
        <w:rPr>
          <w:rFonts w:cs="Helvetica"/>
          <w:szCs w:val="20"/>
        </w:rPr>
        <w:t xml:space="preserve">de feiten en omstandigheden waarbij het beroep op art. 7:232 lid 2 </w:t>
      </w:r>
      <w:r w:rsidR="00866C86" w:rsidRPr="008E33DF">
        <w:rPr>
          <w:rFonts w:cs="Helvetica"/>
          <w:szCs w:val="20"/>
        </w:rPr>
        <w:t xml:space="preserve">BW </w:t>
      </w:r>
      <w:r w:rsidRPr="008E33DF">
        <w:rPr>
          <w:rFonts w:cs="Helvetica"/>
          <w:szCs w:val="20"/>
        </w:rPr>
        <w:t>wordt toegewezen</w:t>
      </w:r>
      <w:r w:rsidR="00CD25C3" w:rsidRPr="008E33DF">
        <w:rPr>
          <w:rFonts w:cs="Helvetica"/>
          <w:szCs w:val="20"/>
        </w:rPr>
        <w:t xml:space="preserve"> aan bod</w:t>
      </w:r>
      <w:r w:rsidRPr="008E33DF">
        <w:rPr>
          <w:rFonts w:cs="Helvetica"/>
          <w:szCs w:val="20"/>
        </w:rPr>
        <w:t xml:space="preserve">. Ten slotte </w:t>
      </w:r>
      <w:r w:rsidR="00CD25C3" w:rsidRPr="008E33DF">
        <w:rPr>
          <w:rFonts w:cs="Helvetica"/>
          <w:szCs w:val="20"/>
        </w:rPr>
        <w:t>volgt een conclusie</w:t>
      </w:r>
      <w:r w:rsidRPr="008E33DF">
        <w:rPr>
          <w:rFonts w:cs="Helvetica"/>
          <w:szCs w:val="20"/>
        </w:rPr>
        <w:t>.</w:t>
      </w:r>
    </w:p>
    <w:p w:rsidR="00866C86" w:rsidRPr="008E33DF" w:rsidRDefault="00866C86" w:rsidP="00FF5B1D">
      <w:pPr>
        <w:rPr>
          <w:rFonts w:cs="Helvetica"/>
          <w:szCs w:val="20"/>
        </w:rPr>
      </w:pPr>
    </w:p>
    <w:p w:rsidR="00866C86" w:rsidRPr="008E33DF" w:rsidRDefault="00866C86" w:rsidP="005E7558">
      <w:pPr>
        <w:pStyle w:val="Kop3"/>
      </w:pPr>
      <w:r w:rsidRPr="008E33DF">
        <w:rPr>
          <w:noProof/>
          <w:lang w:eastAsia="nl-NL"/>
        </w:rPr>
        <w:drawing>
          <wp:anchor distT="0" distB="0" distL="114300" distR="114300" simplePos="0" relativeHeight="251672576" behindDoc="0" locked="0" layoutInCell="1" allowOverlap="1">
            <wp:simplePos x="0" y="0"/>
            <wp:positionH relativeFrom="column">
              <wp:posOffset>2595700</wp:posOffset>
            </wp:positionH>
            <wp:positionV relativeFrom="paragraph">
              <wp:posOffset>206543</wp:posOffset>
            </wp:positionV>
            <wp:extent cx="2967439" cy="2925361"/>
            <wp:effectExtent l="19050" t="0" r="23411" b="8339"/>
            <wp:wrapNone/>
            <wp:docPr id="9"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bookmarkStart w:id="53" w:name="_Toc454253681"/>
      <w:r w:rsidR="00BA7983">
        <w:t>5.5</w:t>
      </w:r>
      <w:r w:rsidR="00FF5B1D" w:rsidRPr="008E33DF">
        <w:t>.1 Afgewezen uitspraken</w:t>
      </w:r>
      <w:bookmarkEnd w:id="53"/>
    </w:p>
    <w:p w:rsidR="00FF5B1D" w:rsidRPr="008E33DF" w:rsidRDefault="00FF5B1D" w:rsidP="00866C86">
      <w:pPr>
        <w:spacing w:line="240" w:lineRule="auto"/>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color w:val="000000"/>
          <w:sz w:val="16"/>
          <w:szCs w:val="16"/>
          <w:lang w:eastAsia="nl-NL"/>
        </w:rPr>
        <w:t xml:space="preserve">Tabel </w:t>
      </w:r>
      <w:r w:rsidR="00866C86" w:rsidRPr="008E33DF">
        <w:rPr>
          <w:rFonts w:ascii="Calibri" w:eastAsia="Times New Roman" w:hAnsi="Calibri" w:cs="Times New Roman"/>
          <w:b/>
          <w:bCs/>
          <w:color w:val="000000"/>
          <w:sz w:val="16"/>
          <w:szCs w:val="16"/>
          <w:lang w:eastAsia="nl-NL"/>
        </w:rPr>
        <w:t>9, d</w:t>
      </w:r>
      <w:r w:rsidRPr="008E33DF">
        <w:rPr>
          <w:rFonts w:ascii="Calibri" w:eastAsia="Times New Roman" w:hAnsi="Calibri" w:cs="Times New Roman"/>
          <w:b/>
          <w:bCs/>
          <w:color w:val="000000"/>
          <w:sz w:val="16"/>
          <w:szCs w:val="16"/>
          <w:lang w:eastAsia="nl-NL"/>
        </w:rPr>
        <w:t>uur van het gebruik</w:t>
      </w:r>
      <w:r w:rsidR="00866C86" w:rsidRPr="008E33DF">
        <w:rPr>
          <w:rFonts w:ascii="Calibri" w:eastAsia="Times New Roman" w:hAnsi="Calibri" w:cs="Times New Roman"/>
          <w:b/>
          <w:bCs/>
          <w:color w:val="000000"/>
          <w:sz w:val="16"/>
          <w:szCs w:val="16"/>
          <w:lang w:eastAsia="nl-NL"/>
        </w:rPr>
        <w:t>, feiten en omstandigheden,</w:t>
      </w:r>
    </w:p>
    <w:p w:rsidR="00866C86" w:rsidRPr="008E33DF" w:rsidRDefault="00FF5B1D" w:rsidP="00866C86">
      <w:pPr>
        <w:spacing w:line="240" w:lineRule="auto"/>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color w:val="000000"/>
          <w:sz w:val="16"/>
          <w:szCs w:val="16"/>
          <w:lang w:eastAsia="nl-NL"/>
        </w:rPr>
        <w:t>beroep op art. 7:232 lid 2</w:t>
      </w:r>
      <w:r w:rsidR="00866C86" w:rsidRPr="008E33DF">
        <w:rPr>
          <w:rFonts w:ascii="Calibri" w:eastAsia="Times New Roman" w:hAnsi="Calibri" w:cs="Times New Roman"/>
          <w:b/>
          <w:bCs/>
          <w:color w:val="000000"/>
          <w:sz w:val="16"/>
          <w:szCs w:val="16"/>
          <w:lang w:eastAsia="nl-NL"/>
        </w:rPr>
        <w:t xml:space="preserve"> BW</w:t>
      </w:r>
      <w:r w:rsidRPr="008E33DF">
        <w:rPr>
          <w:rFonts w:ascii="Calibri" w:eastAsia="Times New Roman" w:hAnsi="Calibri" w:cs="Times New Roman"/>
          <w:b/>
          <w:bCs/>
          <w:color w:val="000000"/>
          <w:sz w:val="16"/>
          <w:szCs w:val="16"/>
          <w:lang w:eastAsia="nl-NL"/>
        </w:rPr>
        <w:t xml:space="preserve"> wordt afgewezen</w:t>
      </w:r>
    </w:p>
    <w:p w:rsidR="00FF5B1D" w:rsidRPr="008E33DF" w:rsidRDefault="00866C86" w:rsidP="00866C86">
      <w:pPr>
        <w:spacing w:line="240" w:lineRule="auto"/>
        <w:rPr>
          <w:sz w:val="16"/>
          <w:szCs w:val="16"/>
        </w:rPr>
      </w:pPr>
      <w:r w:rsidRPr="008E33DF">
        <w:rPr>
          <w:rFonts w:ascii="Calibri" w:eastAsia="Times New Roman" w:hAnsi="Calibri" w:cs="Times New Roman"/>
          <w:b/>
          <w:bCs/>
          <w:color w:val="000000"/>
          <w:sz w:val="16"/>
          <w:szCs w:val="16"/>
          <w:lang w:eastAsia="nl-NL"/>
        </w:rPr>
        <w:t>(zie ook bijlage 9)</w:t>
      </w:r>
      <w:r w:rsidR="00FF5B1D" w:rsidRPr="008E33DF">
        <w:rPr>
          <w:rFonts w:ascii="Calibri" w:eastAsia="Times New Roman" w:hAnsi="Calibri" w:cs="Times New Roman"/>
          <w:b/>
          <w:bCs/>
          <w:color w:val="000000"/>
          <w:sz w:val="16"/>
          <w:szCs w:val="16"/>
          <w:lang w:eastAsia="nl-NL"/>
        </w:rPr>
        <w:t>.</w:t>
      </w:r>
    </w:p>
    <w:tbl>
      <w:tblPr>
        <w:tblStyle w:val="Lichtraster3"/>
        <w:tblW w:w="3828" w:type="dxa"/>
        <w:tblInd w:w="108" w:type="dxa"/>
        <w:tblLayout w:type="fixed"/>
        <w:tblLook w:val="04A0"/>
      </w:tblPr>
      <w:tblGrid>
        <w:gridCol w:w="851"/>
        <w:gridCol w:w="567"/>
        <w:gridCol w:w="567"/>
        <w:gridCol w:w="567"/>
        <w:gridCol w:w="567"/>
        <w:gridCol w:w="709"/>
      </w:tblGrid>
      <w:tr w:rsidR="00FF5B1D" w:rsidRPr="008E33DF" w:rsidTr="00866C86">
        <w:trPr>
          <w:cnfStyle w:val="100000000000"/>
        </w:trPr>
        <w:tc>
          <w:tcPr>
            <w:cnfStyle w:val="001000000000"/>
            <w:tcW w:w="3828" w:type="dxa"/>
            <w:gridSpan w:val="6"/>
            <w:vAlign w:val="bottom"/>
          </w:tcPr>
          <w:p w:rsidR="00FF5B1D" w:rsidRPr="008E33DF" w:rsidRDefault="00FF5B1D" w:rsidP="00866C86">
            <w:pPr>
              <w:spacing w:line="240" w:lineRule="auto"/>
              <w:jc w:val="center"/>
              <w:rPr>
                <w:rFonts w:ascii="Calibri" w:eastAsia="Times New Roman" w:hAnsi="Calibri" w:cs="Times New Roman"/>
                <w:bCs w:val="0"/>
                <w:color w:val="000000"/>
                <w:szCs w:val="20"/>
                <w:lang w:eastAsia="nl-NL"/>
              </w:rPr>
            </w:pPr>
            <w:r w:rsidRPr="008E33DF">
              <w:rPr>
                <w:rFonts w:ascii="Calibri" w:eastAsia="Times New Roman" w:hAnsi="Calibri" w:cs="Times New Roman"/>
                <w:bCs w:val="0"/>
                <w:color w:val="000000"/>
                <w:szCs w:val="20"/>
                <w:lang w:eastAsia="nl-NL"/>
              </w:rPr>
              <w:t>Categorieën</w:t>
            </w:r>
          </w:p>
        </w:tc>
      </w:tr>
      <w:tr w:rsidR="00FF5B1D" w:rsidRPr="008E33DF" w:rsidTr="00866C86">
        <w:trPr>
          <w:cnfStyle w:val="000000100000"/>
        </w:trPr>
        <w:tc>
          <w:tcPr>
            <w:cnfStyle w:val="001000000000"/>
            <w:tcW w:w="851" w:type="dxa"/>
            <w:tcBorders>
              <w:bottom w:val="single" w:sz="18" w:space="0" w:color="000000" w:themeColor="text1"/>
            </w:tcBorders>
            <w:shd w:val="clear" w:color="auto" w:fill="auto"/>
            <w:vAlign w:val="bottom"/>
          </w:tcPr>
          <w:p w:rsidR="00FF5B1D" w:rsidRPr="008E33DF" w:rsidRDefault="00FF5B1D" w:rsidP="00866C86">
            <w:pPr>
              <w:spacing w:line="240" w:lineRule="auto"/>
              <w:jc w:val="center"/>
              <w:rPr>
                <w:rFonts w:ascii="Calibri" w:eastAsia="Times New Roman" w:hAnsi="Calibri" w:cs="Times New Roman"/>
                <w:sz w:val="12"/>
                <w:szCs w:val="12"/>
                <w:lang w:eastAsia="nl-NL"/>
              </w:rPr>
            </w:pPr>
            <w:r w:rsidRPr="008E33DF">
              <w:rPr>
                <w:rFonts w:ascii="Calibri" w:eastAsia="Times New Roman" w:hAnsi="Calibri" w:cs="Times New Roman"/>
                <w:sz w:val="12"/>
                <w:szCs w:val="12"/>
                <w:lang w:eastAsia="nl-NL"/>
              </w:rPr>
              <w:t>Nummers uitspraken</w:t>
            </w:r>
          </w:p>
        </w:tc>
        <w:tc>
          <w:tcPr>
            <w:tcW w:w="567" w:type="dxa"/>
            <w:tcBorders>
              <w:bottom w:val="single" w:sz="18" w:space="0" w:color="000000" w:themeColor="text1"/>
            </w:tcBorders>
            <w:shd w:val="clear" w:color="auto" w:fill="76923C" w:themeFill="accent3" w:themeFillShade="BF"/>
            <w:vAlign w:val="center"/>
          </w:tcPr>
          <w:p w:rsidR="00FF5B1D" w:rsidRPr="008E33DF" w:rsidRDefault="00FF5B1D" w:rsidP="00866C86">
            <w:pPr>
              <w:spacing w:line="240" w:lineRule="auto"/>
              <w:jc w:val="center"/>
              <w:cnfStyle w:val="000000100000"/>
              <w:rPr>
                <w:rFonts w:ascii="Calibri" w:eastAsia="Times New Roman" w:hAnsi="Calibri" w:cs="Times New Roman"/>
                <w:color w:val="0F253F"/>
                <w:sz w:val="12"/>
                <w:szCs w:val="12"/>
                <w:lang w:eastAsia="nl-NL"/>
              </w:rPr>
            </w:pPr>
          </w:p>
        </w:tc>
        <w:tc>
          <w:tcPr>
            <w:tcW w:w="567" w:type="dxa"/>
            <w:tcBorders>
              <w:bottom w:val="single" w:sz="18" w:space="0" w:color="000000" w:themeColor="text1"/>
            </w:tcBorders>
            <w:shd w:val="clear" w:color="auto" w:fill="E36C0A" w:themeFill="accent6" w:themeFillShade="BF"/>
            <w:vAlign w:val="center"/>
          </w:tcPr>
          <w:p w:rsidR="00FF5B1D" w:rsidRPr="008E33DF" w:rsidRDefault="00FF5B1D" w:rsidP="00866C86">
            <w:pPr>
              <w:spacing w:line="240" w:lineRule="auto"/>
              <w:jc w:val="center"/>
              <w:cnfStyle w:val="000000100000"/>
              <w:rPr>
                <w:rFonts w:ascii="Calibri" w:eastAsia="Times New Roman" w:hAnsi="Calibri" w:cs="Times New Roman"/>
                <w:color w:val="4F6228"/>
                <w:sz w:val="12"/>
                <w:szCs w:val="12"/>
                <w:lang w:eastAsia="nl-NL"/>
              </w:rPr>
            </w:pPr>
          </w:p>
        </w:tc>
        <w:tc>
          <w:tcPr>
            <w:tcW w:w="567" w:type="dxa"/>
            <w:tcBorders>
              <w:bottom w:val="single" w:sz="18" w:space="0" w:color="000000" w:themeColor="text1"/>
            </w:tcBorders>
            <w:shd w:val="clear" w:color="auto" w:fill="31849B" w:themeFill="accent5" w:themeFillShade="BF"/>
            <w:vAlign w:val="center"/>
          </w:tcPr>
          <w:p w:rsidR="00FF5B1D" w:rsidRPr="008E33DF" w:rsidRDefault="00FF5B1D" w:rsidP="00866C86">
            <w:pPr>
              <w:spacing w:line="240" w:lineRule="auto"/>
              <w:jc w:val="center"/>
              <w:cnfStyle w:val="000000100000"/>
              <w:rPr>
                <w:rFonts w:ascii="Calibri" w:eastAsia="Times New Roman" w:hAnsi="Calibri" w:cs="Times New Roman"/>
                <w:color w:val="974807"/>
                <w:sz w:val="12"/>
                <w:szCs w:val="12"/>
                <w:lang w:eastAsia="nl-NL"/>
              </w:rPr>
            </w:pPr>
          </w:p>
        </w:tc>
        <w:tc>
          <w:tcPr>
            <w:tcW w:w="567" w:type="dxa"/>
            <w:tcBorders>
              <w:bottom w:val="single" w:sz="18" w:space="0" w:color="000000" w:themeColor="text1"/>
            </w:tcBorders>
            <w:shd w:val="clear" w:color="auto" w:fill="7030A0"/>
            <w:vAlign w:val="center"/>
          </w:tcPr>
          <w:p w:rsidR="00FF5B1D" w:rsidRPr="008E33DF" w:rsidRDefault="00FF5B1D" w:rsidP="00866C86">
            <w:pPr>
              <w:spacing w:line="240" w:lineRule="auto"/>
              <w:jc w:val="center"/>
              <w:cnfStyle w:val="000000100000"/>
              <w:rPr>
                <w:rFonts w:ascii="Calibri" w:eastAsia="Times New Roman" w:hAnsi="Calibri" w:cs="Times New Roman"/>
                <w:color w:val="FF0000"/>
                <w:sz w:val="12"/>
                <w:szCs w:val="12"/>
                <w:lang w:eastAsia="nl-NL"/>
              </w:rPr>
            </w:pPr>
          </w:p>
        </w:tc>
        <w:tc>
          <w:tcPr>
            <w:tcW w:w="709" w:type="dxa"/>
            <w:tcBorders>
              <w:bottom w:val="single" w:sz="18" w:space="0" w:color="000000" w:themeColor="text1"/>
            </w:tcBorders>
            <w:shd w:val="clear" w:color="auto" w:fill="auto"/>
            <w:vAlign w:val="bottom"/>
          </w:tcPr>
          <w:p w:rsidR="00FF5B1D" w:rsidRPr="008E33DF" w:rsidRDefault="00FF5B1D" w:rsidP="00866C86">
            <w:pPr>
              <w:spacing w:line="240" w:lineRule="auto"/>
              <w:jc w:val="center"/>
              <w:cnfStyle w:val="000000100000"/>
              <w:rPr>
                <w:sz w:val="12"/>
                <w:szCs w:val="12"/>
              </w:rPr>
            </w:pPr>
          </w:p>
        </w:tc>
      </w:tr>
      <w:tr w:rsidR="00FF5B1D" w:rsidRPr="008E33DF" w:rsidTr="00866C86">
        <w:trPr>
          <w:cnfStyle w:val="000000010000"/>
        </w:trPr>
        <w:tc>
          <w:tcPr>
            <w:cnfStyle w:val="001000000000"/>
            <w:tcW w:w="851" w:type="dxa"/>
            <w:tcBorders>
              <w:top w:val="single" w:sz="18" w:space="0" w:color="000000" w:themeColor="text1"/>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1</w:t>
            </w:r>
          </w:p>
        </w:tc>
        <w:tc>
          <w:tcPr>
            <w:tcW w:w="567" w:type="dxa"/>
            <w:tcBorders>
              <w:top w:val="single" w:sz="18" w:space="0" w:color="000000" w:themeColor="text1"/>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r w:rsidRPr="008E33DF">
              <w:rPr>
                <w:sz w:val="12"/>
                <w:szCs w:val="12"/>
              </w:rPr>
              <w:t>1</w:t>
            </w: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single" w:sz="18" w:space="0" w:color="000000" w:themeColor="text1"/>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709" w:type="dxa"/>
            <w:tcBorders>
              <w:top w:val="single" w:sz="18" w:space="0" w:color="000000" w:themeColor="text1"/>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1</w:t>
            </w:r>
          </w:p>
        </w:tc>
      </w:tr>
      <w:tr w:rsidR="00FF5B1D" w:rsidRPr="008E33DF" w:rsidTr="00866C86">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2</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100000"/>
              <w:rPr>
                <w:b/>
                <w:sz w:val="12"/>
                <w:szCs w:val="12"/>
              </w:rPr>
            </w:pPr>
            <w:r w:rsidRPr="008E33DF">
              <w:rPr>
                <w:b/>
                <w:sz w:val="12"/>
                <w:szCs w:val="12"/>
              </w:rPr>
              <w:t>1</w:t>
            </w:r>
          </w:p>
        </w:tc>
      </w:tr>
      <w:tr w:rsidR="00FF5B1D" w:rsidRPr="008E33DF" w:rsidTr="00866C86">
        <w:trPr>
          <w:cnfStyle w:val="00000001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11</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r w:rsidRPr="008E33DF">
              <w:rPr>
                <w:sz w:val="12"/>
                <w:szCs w:val="12"/>
              </w:rPr>
              <w:t>1</w:t>
            </w: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1</w:t>
            </w:r>
          </w:p>
        </w:tc>
      </w:tr>
      <w:tr w:rsidR="00FF5B1D" w:rsidRPr="008E33DF" w:rsidTr="00866C86">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13</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100000"/>
              <w:rPr>
                <w:b/>
                <w:sz w:val="12"/>
                <w:szCs w:val="12"/>
              </w:rPr>
            </w:pPr>
            <w:r w:rsidRPr="008E33DF">
              <w:rPr>
                <w:b/>
                <w:sz w:val="12"/>
                <w:szCs w:val="12"/>
              </w:rPr>
              <w:t>1</w:t>
            </w:r>
          </w:p>
        </w:tc>
      </w:tr>
      <w:tr w:rsidR="00FF5B1D" w:rsidRPr="008E33DF" w:rsidTr="00866C86">
        <w:trPr>
          <w:cnfStyle w:val="00000001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14</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1</w:t>
            </w:r>
          </w:p>
        </w:tc>
      </w:tr>
      <w:tr w:rsidR="00FF5B1D" w:rsidRPr="008E33DF" w:rsidTr="00866C86">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15</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100000"/>
              <w:rPr>
                <w:b/>
                <w:sz w:val="12"/>
                <w:szCs w:val="12"/>
              </w:rPr>
            </w:pPr>
            <w:r w:rsidRPr="008E33DF">
              <w:rPr>
                <w:b/>
                <w:sz w:val="12"/>
                <w:szCs w:val="12"/>
              </w:rPr>
              <w:t>1</w:t>
            </w:r>
          </w:p>
        </w:tc>
      </w:tr>
      <w:tr w:rsidR="00FF5B1D" w:rsidRPr="008E33DF" w:rsidTr="00866C86">
        <w:trPr>
          <w:cnfStyle w:val="00000001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17</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2</w:t>
            </w:r>
          </w:p>
        </w:tc>
      </w:tr>
      <w:tr w:rsidR="00FF5B1D" w:rsidRPr="008E33DF" w:rsidTr="00866C86">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18</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100000"/>
              <w:rPr>
                <w:b/>
                <w:sz w:val="12"/>
                <w:szCs w:val="12"/>
              </w:rPr>
            </w:pPr>
            <w:r w:rsidRPr="008E33DF">
              <w:rPr>
                <w:b/>
                <w:sz w:val="12"/>
                <w:szCs w:val="12"/>
              </w:rPr>
              <w:t>2</w:t>
            </w:r>
          </w:p>
        </w:tc>
      </w:tr>
      <w:tr w:rsidR="00FF5B1D" w:rsidRPr="008E33DF" w:rsidTr="00866C86">
        <w:trPr>
          <w:cnfStyle w:val="00000001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19</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1</w:t>
            </w:r>
          </w:p>
        </w:tc>
      </w:tr>
      <w:tr w:rsidR="00FF5B1D" w:rsidRPr="008E33DF" w:rsidTr="00866C86">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22</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100000"/>
              <w:rPr>
                <w:b/>
                <w:sz w:val="12"/>
                <w:szCs w:val="12"/>
              </w:rPr>
            </w:pPr>
            <w:r w:rsidRPr="008E33DF">
              <w:rPr>
                <w:b/>
                <w:sz w:val="12"/>
                <w:szCs w:val="12"/>
              </w:rPr>
              <w:t>1</w:t>
            </w:r>
          </w:p>
        </w:tc>
      </w:tr>
      <w:tr w:rsidR="00FF5B1D" w:rsidRPr="008E33DF" w:rsidTr="00866C86">
        <w:trPr>
          <w:cnfStyle w:val="00000001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24</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r w:rsidRPr="008E33DF">
              <w:rPr>
                <w:sz w:val="12"/>
                <w:szCs w:val="12"/>
              </w:rPr>
              <w:t>1</w:t>
            </w: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2</w:t>
            </w:r>
          </w:p>
        </w:tc>
      </w:tr>
      <w:tr w:rsidR="00FF5B1D" w:rsidRPr="008E33DF" w:rsidTr="00866C86">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26</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100000"/>
              <w:rPr>
                <w:b/>
                <w:sz w:val="12"/>
                <w:szCs w:val="12"/>
              </w:rPr>
            </w:pPr>
            <w:r w:rsidRPr="008E33DF">
              <w:rPr>
                <w:b/>
                <w:sz w:val="12"/>
                <w:szCs w:val="12"/>
              </w:rPr>
              <w:t>1</w:t>
            </w:r>
          </w:p>
        </w:tc>
      </w:tr>
      <w:tr w:rsidR="00FF5B1D" w:rsidRPr="008E33DF" w:rsidTr="00866C86">
        <w:trPr>
          <w:cnfStyle w:val="00000001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27</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1</w:t>
            </w:r>
          </w:p>
        </w:tc>
      </w:tr>
      <w:tr w:rsidR="00FF5B1D" w:rsidRPr="008E33DF" w:rsidTr="00866C86">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30</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100000"/>
              <w:rPr>
                <w:b/>
                <w:sz w:val="12"/>
                <w:szCs w:val="12"/>
              </w:rPr>
            </w:pPr>
            <w:r w:rsidRPr="008E33DF">
              <w:rPr>
                <w:b/>
                <w:sz w:val="12"/>
                <w:szCs w:val="12"/>
              </w:rPr>
              <w:t>1</w:t>
            </w:r>
          </w:p>
        </w:tc>
      </w:tr>
      <w:tr w:rsidR="00FF5B1D" w:rsidRPr="008E33DF" w:rsidTr="00866C86">
        <w:trPr>
          <w:cnfStyle w:val="00000001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34</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010000"/>
              <w:rPr>
                <w:sz w:val="12"/>
                <w:szCs w:val="12"/>
              </w:rPr>
            </w:pPr>
            <w:r w:rsidRPr="008E33DF">
              <w:rPr>
                <w:sz w:val="12"/>
                <w:szCs w:val="12"/>
              </w:rPr>
              <w:t>1</w:t>
            </w: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2</w:t>
            </w:r>
          </w:p>
        </w:tc>
      </w:tr>
      <w:tr w:rsidR="00FF5B1D" w:rsidRPr="008E33DF" w:rsidTr="00866C86">
        <w:trPr>
          <w:cnfStyle w:val="000000100000"/>
        </w:trPr>
        <w:tc>
          <w:tcPr>
            <w:cnfStyle w:val="001000000000"/>
            <w:tcW w:w="851"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39</w:t>
            </w:r>
          </w:p>
        </w:tc>
        <w:tc>
          <w:tcPr>
            <w:tcW w:w="567" w:type="dxa"/>
            <w:tcBorders>
              <w:top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r w:rsidRPr="008E33DF">
              <w:rPr>
                <w:sz w:val="12"/>
                <w:szCs w:val="12"/>
              </w:rPr>
              <w:t>1</w:t>
            </w: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567" w:type="dxa"/>
            <w:tcBorders>
              <w:top w:val="dotted" w:sz="4" w:space="0" w:color="auto"/>
              <w:left w:val="dotted" w:sz="4" w:space="0" w:color="auto"/>
              <w:bottom w:val="dotted" w:sz="4" w:space="0" w:color="auto"/>
              <w:right w:val="dotted" w:sz="4" w:space="0" w:color="auto"/>
            </w:tcBorders>
            <w:vAlign w:val="center"/>
          </w:tcPr>
          <w:p w:rsidR="00FF5B1D" w:rsidRPr="008E33DF" w:rsidRDefault="00FF5B1D" w:rsidP="00866C86">
            <w:pPr>
              <w:spacing w:line="240" w:lineRule="auto"/>
              <w:jc w:val="center"/>
              <w:cnfStyle w:val="000000100000"/>
              <w:rPr>
                <w:sz w:val="12"/>
                <w:szCs w:val="12"/>
              </w:rPr>
            </w:pPr>
          </w:p>
        </w:tc>
        <w:tc>
          <w:tcPr>
            <w:tcW w:w="709" w:type="dxa"/>
            <w:tcBorders>
              <w:top w:val="dotted" w:sz="4" w:space="0" w:color="auto"/>
              <w:left w:val="single" w:sz="18" w:space="0" w:color="000000" w:themeColor="text1"/>
              <w:bottom w:val="dotted" w:sz="4" w:space="0" w:color="auto"/>
              <w:right w:val="single" w:sz="18" w:space="0" w:color="000000" w:themeColor="text1"/>
            </w:tcBorders>
            <w:vAlign w:val="center"/>
          </w:tcPr>
          <w:p w:rsidR="00FF5B1D" w:rsidRPr="008E33DF" w:rsidRDefault="00FF5B1D" w:rsidP="00866C86">
            <w:pPr>
              <w:spacing w:line="240" w:lineRule="auto"/>
              <w:jc w:val="center"/>
              <w:cnfStyle w:val="000000100000"/>
              <w:rPr>
                <w:b/>
                <w:sz w:val="12"/>
                <w:szCs w:val="12"/>
              </w:rPr>
            </w:pPr>
            <w:r w:rsidRPr="008E33DF">
              <w:rPr>
                <w:b/>
                <w:sz w:val="12"/>
                <w:szCs w:val="12"/>
              </w:rPr>
              <w:t>1</w:t>
            </w:r>
          </w:p>
        </w:tc>
      </w:tr>
      <w:tr w:rsidR="00FF5B1D" w:rsidRPr="008E33DF" w:rsidTr="00866C86">
        <w:trPr>
          <w:cnfStyle w:val="000000010000"/>
        </w:trPr>
        <w:tc>
          <w:tcPr>
            <w:cnfStyle w:val="001000000000"/>
            <w:tcW w:w="851" w:type="dxa"/>
            <w:tcBorders>
              <w:top w:val="single" w:sz="18" w:space="0" w:color="000000" w:themeColor="text1"/>
              <w:left w:val="single" w:sz="18" w:space="0" w:color="000000" w:themeColor="text1"/>
              <w:bottom w:val="single" w:sz="18" w:space="0" w:color="000000" w:themeColor="text1"/>
              <w:right w:val="dotted" w:sz="4" w:space="0" w:color="auto"/>
            </w:tcBorders>
            <w:vAlign w:val="center"/>
          </w:tcPr>
          <w:p w:rsidR="00FF5B1D" w:rsidRPr="008E33DF" w:rsidRDefault="00FF5B1D" w:rsidP="00866C86">
            <w:pPr>
              <w:spacing w:line="240" w:lineRule="auto"/>
              <w:jc w:val="center"/>
              <w:rPr>
                <w:sz w:val="12"/>
                <w:szCs w:val="12"/>
              </w:rPr>
            </w:pPr>
            <w:r w:rsidRPr="008E33DF">
              <w:rPr>
                <w:sz w:val="12"/>
                <w:szCs w:val="12"/>
              </w:rPr>
              <w:t>16</w:t>
            </w:r>
          </w:p>
        </w:tc>
        <w:tc>
          <w:tcPr>
            <w:tcW w:w="567" w:type="dxa"/>
            <w:tcBorders>
              <w:top w:val="single" w:sz="18" w:space="0" w:color="000000" w:themeColor="text1"/>
              <w:bottom w:val="single" w:sz="18" w:space="0" w:color="000000" w:themeColor="text1"/>
              <w:right w:val="dotted" w:sz="4" w:space="0" w:color="auto"/>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5</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9</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3</w:t>
            </w:r>
          </w:p>
        </w:tc>
        <w:tc>
          <w:tcPr>
            <w:tcW w:w="567" w:type="dxa"/>
            <w:tcBorders>
              <w:top w:val="single" w:sz="18" w:space="0" w:color="000000" w:themeColor="text1"/>
              <w:left w:val="dotted" w:sz="4" w:space="0" w:color="auto"/>
              <w:bottom w:val="single" w:sz="18" w:space="0" w:color="000000" w:themeColor="text1"/>
              <w:right w:val="dotted" w:sz="4" w:space="0" w:color="auto"/>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3</w:t>
            </w:r>
          </w:p>
        </w:tc>
        <w:tc>
          <w:tcPr>
            <w:tcW w:w="709" w:type="dxa"/>
            <w:tcBorders>
              <w:top w:val="single" w:sz="18" w:space="0" w:color="000000" w:themeColor="text1"/>
              <w:left w:val="single" w:sz="18" w:space="0" w:color="000000" w:themeColor="text1"/>
              <w:bottom w:val="single" w:sz="18" w:space="0" w:color="000000" w:themeColor="text1"/>
              <w:right w:val="single" w:sz="12" w:space="0" w:color="000000" w:themeColor="text1"/>
            </w:tcBorders>
            <w:vAlign w:val="center"/>
          </w:tcPr>
          <w:p w:rsidR="00FF5B1D" w:rsidRPr="008E33DF" w:rsidRDefault="00FF5B1D" w:rsidP="00866C86">
            <w:pPr>
              <w:spacing w:line="240" w:lineRule="auto"/>
              <w:jc w:val="center"/>
              <w:cnfStyle w:val="000000010000"/>
              <w:rPr>
                <w:b/>
                <w:sz w:val="12"/>
                <w:szCs w:val="12"/>
              </w:rPr>
            </w:pPr>
            <w:r w:rsidRPr="008E33DF">
              <w:rPr>
                <w:b/>
                <w:sz w:val="12"/>
                <w:szCs w:val="12"/>
              </w:rPr>
              <w:t>Totaal</w:t>
            </w:r>
          </w:p>
        </w:tc>
      </w:tr>
      <w:tr w:rsidR="00FF5B1D" w:rsidRPr="008E33DF" w:rsidTr="00866C86">
        <w:trPr>
          <w:cnfStyle w:val="000000100000"/>
        </w:trPr>
        <w:tc>
          <w:tcPr>
            <w:cnfStyle w:val="001000000000"/>
            <w:tcW w:w="851" w:type="dxa"/>
            <w:tcBorders>
              <w:top w:val="single" w:sz="18" w:space="0" w:color="000000" w:themeColor="text1"/>
              <w:right w:val="dotted" w:sz="4" w:space="0" w:color="auto"/>
            </w:tcBorders>
            <w:shd w:val="clear" w:color="auto" w:fill="76923C" w:themeFill="accent3" w:themeFillShade="BF"/>
            <w:vAlign w:val="center"/>
          </w:tcPr>
          <w:p w:rsidR="00FF5B1D" w:rsidRPr="008E33DF" w:rsidRDefault="00FF5B1D" w:rsidP="00866C86">
            <w:pPr>
              <w:spacing w:line="240" w:lineRule="auto"/>
              <w:jc w:val="center"/>
              <w:rPr>
                <w:sz w:val="12"/>
                <w:szCs w:val="12"/>
              </w:rPr>
            </w:pPr>
          </w:p>
        </w:tc>
        <w:tc>
          <w:tcPr>
            <w:tcW w:w="2977" w:type="dxa"/>
            <w:gridSpan w:val="5"/>
            <w:tcBorders>
              <w:top w:val="single" w:sz="18" w:space="0" w:color="000000" w:themeColor="text1"/>
            </w:tcBorders>
            <w:shd w:val="clear" w:color="auto" w:fill="auto"/>
            <w:vAlign w:val="bottom"/>
          </w:tcPr>
          <w:p w:rsidR="00FF5B1D" w:rsidRPr="008E33DF" w:rsidRDefault="00FF5B1D" w:rsidP="00866C86">
            <w:pPr>
              <w:spacing w:line="240" w:lineRule="auto"/>
              <w:cnfStyle w:val="000000100000"/>
              <w:rPr>
                <w:b/>
                <w:sz w:val="12"/>
                <w:szCs w:val="12"/>
              </w:rPr>
            </w:pPr>
            <w:r w:rsidRPr="008E33DF">
              <w:rPr>
                <w:b/>
                <w:sz w:val="12"/>
                <w:szCs w:val="12"/>
              </w:rPr>
              <w:t>Slechts bedingen van een bepaalde periode is onvoldoende</w:t>
            </w:r>
          </w:p>
        </w:tc>
      </w:tr>
      <w:tr w:rsidR="00FF5B1D" w:rsidRPr="008E33DF" w:rsidTr="00866C86">
        <w:trPr>
          <w:cnfStyle w:val="000000010000"/>
        </w:trPr>
        <w:tc>
          <w:tcPr>
            <w:cnfStyle w:val="001000000000"/>
            <w:tcW w:w="851" w:type="dxa"/>
            <w:tcBorders>
              <w:right w:val="dotted" w:sz="4" w:space="0" w:color="auto"/>
            </w:tcBorders>
            <w:shd w:val="clear" w:color="auto" w:fill="E36C0A" w:themeFill="accent6" w:themeFillShade="BF"/>
            <w:vAlign w:val="center"/>
          </w:tcPr>
          <w:p w:rsidR="00FF5B1D" w:rsidRPr="008E33DF" w:rsidRDefault="00FF5B1D" w:rsidP="00866C86">
            <w:pPr>
              <w:spacing w:line="240" w:lineRule="auto"/>
              <w:jc w:val="center"/>
              <w:rPr>
                <w:sz w:val="12"/>
                <w:szCs w:val="12"/>
              </w:rPr>
            </w:pPr>
          </w:p>
        </w:tc>
        <w:tc>
          <w:tcPr>
            <w:tcW w:w="2977" w:type="dxa"/>
            <w:gridSpan w:val="5"/>
            <w:shd w:val="clear" w:color="auto" w:fill="auto"/>
            <w:vAlign w:val="bottom"/>
          </w:tcPr>
          <w:p w:rsidR="00FF5B1D" w:rsidRPr="008E33DF" w:rsidRDefault="00FF5B1D" w:rsidP="00866C86">
            <w:pPr>
              <w:spacing w:line="240" w:lineRule="auto"/>
              <w:cnfStyle w:val="000000010000"/>
              <w:rPr>
                <w:b/>
                <w:sz w:val="12"/>
                <w:szCs w:val="12"/>
              </w:rPr>
            </w:pPr>
            <w:r w:rsidRPr="008E33DF">
              <w:rPr>
                <w:b/>
                <w:sz w:val="12"/>
                <w:szCs w:val="12"/>
              </w:rPr>
              <w:t>Verlenging/voortzetting</w:t>
            </w:r>
          </w:p>
        </w:tc>
      </w:tr>
      <w:tr w:rsidR="00FF5B1D" w:rsidRPr="008E33DF" w:rsidTr="00866C86">
        <w:trPr>
          <w:cnfStyle w:val="000000100000"/>
        </w:trPr>
        <w:tc>
          <w:tcPr>
            <w:cnfStyle w:val="001000000000"/>
            <w:tcW w:w="851" w:type="dxa"/>
            <w:tcBorders>
              <w:right w:val="dotted" w:sz="4" w:space="0" w:color="auto"/>
            </w:tcBorders>
            <w:shd w:val="clear" w:color="auto" w:fill="31849B" w:themeFill="accent5" w:themeFillShade="BF"/>
            <w:vAlign w:val="center"/>
          </w:tcPr>
          <w:p w:rsidR="00FF5B1D" w:rsidRPr="008E33DF" w:rsidRDefault="00FF5B1D" w:rsidP="00866C86">
            <w:pPr>
              <w:spacing w:line="240" w:lineRule="auto"/>
              <w:jc w:val="center"/>
              <w:rPr>
                <w:sz w:val="12"/>
                <w:szCs w:val="12"/>
              </w:rPr>
            </w:pPr>
          </w:p>
        </w:tc>
        <w:tc>
          <w:tcPr>
            <w:tcW w:w="2977" w:type="dxa"/>
            <w:gridSpan w:val="5"/>
            <w:shd w:val="clear" w:color="auto" w:fill="auto"/>
            <w:vAlign w:val="bottom"/>
          </w:tcPr>
          <w:p w:rsidR="00FF5B1D" w:rsidRPr="008E33DF" w:rsidRDefault="00FF5B1D" w:rsidP="00866C86">
            <w:pPr>
              <w:spacing w:line="240" w:lineRule="auto"/>
              <w:cnfStyle w:val="000000100000"/>
              <w:rPr>
                <w:b/>
                <w:sz w:val="12"/>
                <w:szCs w:val="12"/>
              </w:rPr>
            </w:pPr>
            <w:r w:rsidRPr="008E33DF">
              <w:rPr>
                <w:b/>
                <w:sz w:val="12"/>
                <w:szCs w:val="12"/>
              </w:rPr>
              <w:t>Duidelijkheid over de periode en/of einddatum</w:t>
            </w:r>
          </w:p>
        </w:tc>
      </w:tr>
      <w:tr w:rsidR="00FF5B1D" w:rsidRPr="008E33DF" w:rsidTr="00866C86">
        <w:trPr>
          <w:cnfStyle w:val="000000010000"/>
        </w:trPr>
        <w:tc>
          <w:tcPr>
            <w:cnfStyle w:val="001000000000"/>
            <w:tcW w:w="851" w:type="dxa"/>
            <w:tcBorders>
              <w:right w:val="dotted" w:sz="4" w:space="0" w:color="auto"/>
            </w:tcBorders>
            <w:shd w:val="clear" w:color="auto" w:fill="7030A0"/>
            <w:vAlign w:val="center"/>
          </w:tcPr>
          <w:p w:rsidR="00FF5B1D" w:rsidRPr="008E33DF" w:rsidRDefault="00FF5B1D" w:rsidP="00866C86">
            <w:pPr>
              <w:spacing w:line="240" w:lineRule="auto"/>
              <w:jc w:val="center"/>
              <w:rPr>
                <w:sz w:val="12"/>
                <w:szCs w:val="12"/>
              </w:rPr>
            </w:pPr>
          </w:p>
        </w:tc>
        <w:tc>
          <w:tcPr>
            <w:tcW w:w="2977" w:type="dxa"/>
            <w:gridSpan w:val="5"/>
            <w:shd w:val="clear" w:color="auto" w:fill="auto"/>
            <w:vAlign w:val="bottom"/>
          </w:tcPr>
          <w:p w:rsidR="00FF5B1D" w:rsidRPr="008E33DF" w:rsidRDefault="00FF5B1D" w:rsidP="00866C86">
            <w:pPr>
              <w:spacing w:line="240" w:lineRule="auto"/>
              <w:cnfStyle w:val="000000010000"/>
              <w:rPr>
                <w:b/>
                <w:sz w:val="12"/>
                <w:szCs w:val="12"/>
              </w:rPr>
            </w:pPr>
            <w:r w:rsidRPr="008E33DF">
              <w:rPr>
                <w:b/>
                <w:sz w:val="12"/>
                <w:szCs w:val="12"/>
              </w:rPr>
              <w:t>Werkelijke duur van de overeenkomst</w:t>
            </w:r>
          </w:p>
        </w:tc>
      </w:tr>
    </w:tbl>
    <w:p w:rsidR="00866C86" w:rsidRPr="008E33DF" w:rsidRDefault="00866C86" w:rsidP="00040133">
      <w:pPr>
        <w:rPr>
          <w:rFonts w:cs="Helvetica"/>
          <w:szCs w:val="20"/>
        </w:rPr>
      </w:pPr>
    </w:p>
    <w:p w:rsidR="006B73B6" w:rsidRPr="008E33DF" w:rsidRDefault="00FF5B1D" w:rsidP="00040133">
      <w:pPr>
        <w:rPr>
          <w:rFonts w:cs="Helvetica"/>
          <w:szCs w:val="20"/>
        </w:rPr>
      </w:pPr>
      <w:r w:rsidRPr="008E33DF">
        <w:rPr>
          <w:rFonts w:cs="Helvetica"/>
          <w:szCs w:val="20"/>
        </w:rPr>
        <w:t>Tabel 9 bevat de feiten en omstandigheden</w:t>
      </w:r>
      <w:r w:rsidR="0040551B" w:rsidRPr="008E33DF">
        <w:rPr>
          <w:rFonts w:cs="Helvetica"/>
          <w:szCs w:val="20"/>
        </w:rPr>
        <w:t xml:space="preserve"> die van belang zijn voor de rechter bij het toetsen op de duur van het gebruik</w:t>
      </w:r>
      <w:r w:rsidRPr="008E33DF">
        <w:rPr>
          <w:rFonts w:cs="Helvetica"/>
          <w:szCs w:val="20"/>
        </w:rPr>
        <w:t xml:space="preserve"> van de uitspraken waarbij het beroep op art. 7:232 lid 2 </w:t>
      </w:r>
      <w:r w:rsidR="00866C86" w:rsidRPr="008E33DF">
        <w:rPr>
          <w:rFonts w:cs="Helvetica"/>
          <w:szCs w:val="20"/>
        </w:rPr>
        <w:t xml:space="preserve">BW </w:t>
      </w:r>
      <w:r w:rsidRPr="008E33DF">
        <w:rPr>
          <w:rFonts w:cs="Helvetica"/>
          <w:szCs w:val="20"/>
        </w:rPr>
        <w:t xml:space="preserve">wordt afgewezen. </w:t>
      </w:r>
      <w:r w:rsidR="000B3232" w:rsidRPr="008E33DF">
        <w:rPr>
          <w:rFonts w:cs="Helvetica"/>
          <w:szCs w:val="20"/>
        </w:rPr>
        <w:t>Uit de</w:t>
      </w:r>
      <w:r w:rsidR="00497E28" w:rsidRPr="008E33DF">
        <w:rPr>
          <w:rFonts w:cs="Helvetica"/>
          <w:szCs w:val="20"/>
        </w:rPr>
        <w:t xml:space="preserve"> tabel valt af te lezen dat de rechter vooral kijkt naar de </w:t>
      </w:r>
      <w:r w:rsidR="00497E28" w:rsidRPr="008E33DF">
        <w:rPr>
          <w:rFonts w:cs="Helvetica"/>
          <w:b/>
          <w:szCs w:val="20"/>
        </w:rPr>
        <w:t>verlen</w:t>
      </w:r>
      <w:r w:rsidR="0040551B" w:rsidRPr="008E33DF">
        <w:rPr>
          <w:rFonts w:cs="Helvetica"/>
          <w:b/>
          <w:szCs w:val="20"/>
        </w:rPr>
        <w:t>g</w:t>
      </w:r>
      <w:r w:rsidR="00497E28" w:rsidRPr="008E33DF">
        <w:rPr>
          <w:rFonts w:cs="Helvetica"/>
          <w:b/>
          <w:szCs w:val="20"/>
        </w:rPr>
        <w:t>ing of voortzetting</w:t>
      </w:r>
      <w:r w:rsidR="00497E28" w:rsidRPr="008E33DF">
        <w:rPr>
          <w:rFonts w:cs="Helvetica"/>
          <w:szCs w:val="20"/>
        </w:rPr>
        <w:t xml:space="preserve"> van de huurovereenkomst. </w:t>
      </w:r>
      <w:r w:rsidR="006B73B6" w:rsidRPr="008E33DF">
        <w:rPr>
          <w:rFonts w:cs="Helvetica"/>
          <w:szCs w:val="20"/>
        </w:rPr>
        <w:t xml:space="preserve">Een belangrijke omstandigheid hierbij is de stilzwijgende verlenging. In de uitspraak van Rb. Rotterdam </w:t>
      </w:r>
      <w:r w:rsidR="00721A5E" w:rsidRPr="008E33DF">
        <w:rPr>
          <w:rFonts w:cs="Helvetica"/>
          <w:szCs w:val="20"/>
        </w:rPr>
        <w:t>van 17 april 2015 heeft verhuurder</w:t>
      </w:r>
      <w:r w:rsidR="006B73B6" w:rsidRPr="008E33DF">
        <w:rPr>
          <w:rFonts w:cs="Helvetica"/>
          <w:szCs w:val="20"/>
        </w:rPr>
        <w:t xml:space="preserve"> met huurder een tijdelijke h</w:t>
      </w:r>
      <w:r w:rsidR="000B3232" w:rsidRPr="008E33DF">
        <w:rPr>
          <w:rFonts w:cs="Helvetica"/>
          <w:szCs w:val="20"/>
        </w:rPr>
        <w:t>uurovereenkomst gesloten. Naar het</w:t>
      </w:r>
      <w:r w:rsidR="006B73B6" w:rsidRPr="008E33DF">
        <w:rPr>
          <w:rFonts w:cs="Helvetica"/>
          <w:szCs w:val="20"/>
        </w:rPr>
        <w:t xml:space="preserve"> oordeel van de rechter blijkt uit de huurovereenkomst dat de partijen een tijdelijke huur voor ogen hadden. De huurovereenkomst is echter na het eindigen van de huurtermijn stilzwijgend verlengd. Op grond van art. 7:230 BW</w:t>
      </w:r>
      <w:r w:rsidR="000B3232" w:rsidRPr="008E33DF">
        <w:rPr>
          <w:rFonts w:cs="Helvetica"/>
          <w:szCs w:val="20"/>
        </w:rPr>
        <w:t xml:space="preserve"> is de stilzwijgende verlenging</w:t>
      </w:r>
      <w:r w:rsidR="006B73B6" w:rsidRPr="008E33DF">
        <w:rPr>
          <w:rFonts w:cs="Helvetica"/>
          <w:szCs w:val="20"/>
        </w:rPr>
        <w:t xml:space="preserve"> een verlenging voor onbepaalde tijd. </w:t>
      </w:r>
      <w:r w:rsidR="00893161">
        <w:rPr>
          <w:rFonts w:cs="Helvetica"/>
          <w:i/>
          <w:szCs w:val="20"/>
        </w:rPr>
        <w:t>"</w:t>
      </w:r>
      <w:r w:rsidR="006B73B6" w:rsidRPr="008E33DF">
        <w:rPr>
          <w:rFonts w:cs="Helvetica"/>
          <w:i/>
          <w:szCs w:val="20"/>
        </w:rPr>
        <w:t>Het verlengen van de overeenkomst voor onbepaalde tijd is niet te verenigen met de huurovereenkomst die naar zijn a</w:t>
      </w:r>
      <w:r w:rsidR="00893161">
        <w:rPr>
          <w:rFonts w:cs="Helvetica"/>
          <w:i/>
          <w:szCs w:val="20"/>
        </w:rPr>
        <w:t>ard van korte duur is aangegaan"</w:t>
      </w:r>
      <w:r w:rsidR="006B73B6" w:rsidRPr="008E33DF">
        <w:rPr>
          <w:rFonts w:cs="Helvetica"/>
          <w:i/>
          <w:szCs w:val="20"/>
        </w:rPr>
        <w:t xml:space="preserve">, </w:t>
      </w:r>
      <w:r w:rsidR="006B73B6" w:rsidRPr="008E33DF">
        <w:rPr>
          <w:rFonts w:cs="Helvetica"/>
          <w:szCs w:val="20"/>
        </w:rPr>
        <w:t>aldus de rechter.</w:t>
      </w:r>
      <w:r w:rsidR="006B73B6" w:rsidRPr="008E33DF">
        <w:rPr>
          <w:rStyle w:val="Voetnootmarkering"/>
          <w:rFonts w:cs="Helvetica"/>
          <w:szCs w:val="20"/>
        </w:rPr>
        <w:footnoteReference w:id="59"/>
      </w:r>
    </w:p>
    <w:p w:rsidR="00B23E8B" w:rsidRPr="008E33DF" w:rsidRDefault="00B23E8B" w:rsidP="00040133">
      <w:pPr>
        <w:rPr>
          <w:rFonts w:cs="Helvetica"/>
          <w:szCs w:val="20"/>
        </w:rPr>
      </w:pPr>
    </w:p>
    <w:p w:rsidR="00B23E8B" w:rsidRPr="008E33DF" w:rsidRDefault="00EE6800" w:rsidP="00040133">
      <w:pPr>
        <w:rPr>
          <w:rFonts w:cs="Helvetica"/>
          <w:szCs w:val="20"/>
        </w:rPr>
      </w:pPr>
      <w:r w:rsidRPr="008E33DF">
        <w:rPr>
          <w:rFonts w:cs="Helvetica"/>
          <w:szCs w:val="20"/>
        </w:rPr>
        <w:t>Een zeer vergaand voorbeeld</w:t>
      </w:r>
      <w:r w:rsidR="00721A5E" w:rsidRPr="008E33DF">
        <w:rPr>
          <w:rFonts w:cs="Helvetica"/>
          <w:szCs w:val="20"/>
        </w:rPr>
        <w:t xml:space="preserve"> van afwijzing op grond van de verlenging</w:t>
      </w:r>
      <w:r w:rsidRPr="008E33DF">
        <w:rPr>
          <w:rFonts w:cs="Helvetica"/>
          <w:szCs w:val="20"/>
        </w:rPr>
        <w:t xml:space="preserve"> </w:t>
      </w:r>
      <w:r w:rsidR="00721A5E" w:rsidRPr="008E33DF">
        <w:rPr>
          <w:rFonts w:cs="Helvetica"/>
          <w:szCs w:val="20"/>
        </w:rPr>
        <w:t xml:space="preserve">staat in </w:t>
      </w:r>
      <w:r w:rsidRPr="008E33DF">
        <w:rPr>
          <w:rFonts w:cs="Helvetica"/>
          <w:szCs w:val="20"/>
        </w:rPr>
        <w:t>paragraaf 5.2.1</w:t>
      </w:r>
      <w:r w:rsidR="009777C7" w:rsidRPr="008E33DF">
        <w:rPr>
          <w:rFonts w:cs="Helvetica"/>
          <w:szCs w:val="20"/>
        </w:rPr>
        <w:t xml:space="preserve">. Het </w:t>
      </w:r>
      <w:r w:rsidR="00721A5E" w:rsidRPr="008E33DF">
        <w:rPr>
          <w:rFonts w:cs="Helvetica"/>
          <w:szCs w:val="20"/>
        </w:rPr>
        <w:t>betreft daar</w:t>
      </w:r>
      <w:r w:rsidR="00866C86" w:rsidRPr="008E33DF">
        <w:rPr>
          <w:rFonts w:cs="Helvetica"/>
          <w:szCs w:val="20"/>
        </w:rPr>
        <w:t xml:space="preserve"> de verhuur van</w:t>
      </w:r>
      <w:r w:rsidR="009777C7" w:rsidRPr="008E33DF">
        <w:rPr>
          <w:rFonts w:cs="Helvetica"/>
          <w:szCs w:val="20"/>
        </w:rPr>
        <w:t xml:space="preserve"> ee</w:t>
      </w:r>
      <w:r w:rsidR="00D708B5" w:rsidRPr="008E33DF">
        <w:rPr>
          <w:rFonts w:cs="Helvetica"/>
          <w:szCs w:val="20"/>
        </w:rPr>
        <w:t>n recreatiewoning</w:t>
      </w:r>
      <w:r w:rsidR="00866C86" w:rsidRPr="008E33DF">
        <w:rPr>
          <w:rFonts w:cs="Helvetica"/>
          <w:szCs w:val="20"/>
        </w:rPr>
        <w:t>. De rechter heeft geoordeeld dat</w:t>
      </w:r>
      <w:r w:rsidR="000029C2" w:rsidRPr="008E33DF">
        <w:rPr>
          <w:rFonts w:cs="Helvetica"/>
          <w:szCs w:val="20"/>
        </w:rPr>
        <w:t xml:space="preserve"> partijen hebben bedoeld een</w:t>
      </w:r>
      <w:r w:rsidR="009777C7" w:rsidRPr="008E33DF">
        <w:rPr>
          <w:rFonts w:cs="Helvetica"/>
          <w:szCs w:val="20"/>
        </w:rPr>
        <w:t xml:space="preserve"> huurovereenkomst aan te gaan van korte duur. De huur is echter</w:t>
      </w:r>
      <w:r w:rsidR="000029C2" w:rsidRPr="008E33DF">
        <w:rPr>
          <w:rFonts w:cs="Helvetica"/>
          <w:szCs w:val="20"/>
        </w:rPr>
        <w:t xml:space="preserve"> na ommekomst van de </w:t>
      </w:r>
      <w:r w:rsidR="000029C2" w:rsidRPr="008E33DF">
        <w:rPr>
          <w:rFonts w:cs="Helvetica"/>
          <w:szCs w:val="20"/>
        </w:rPr>
        <w:lastRenderedPageBreak/>
        <w:t>afgesproken huurtermijn</w:t>
      </w:r>
      <w:r w:rsidR="009777C7" w:rsidRPr="008E33DF">
        <w:rPr>
          <w:rFonts w:cs="Helvetica"/>
          <w:szCs w:val="20"/>
        </w:rPr>
        <w:t xml:space="preserve"> stilzwijgend verlengd </w:t>
      </w:r>
      <w:r w:rsidR="00721A5E" w:rsidRPr="008E33DF">
        <w:rPr>
          <w:rFonts w:cs="Helvetica"/>
          <w:szCs w:val="20"/>
        </w:rPr>
        <w:t>voor</w:t>
      </w:r>
      <w:r w:rsidR="009777C7" w:rsidRPr="008E33DF">
        <w:rPr>
          <w:rFonts w:cs="Helvetica"/>
          <w:szCs w:val="20"/>
        </w:rPr>
        <w:t xml:space="preserve"> onbepaalde tijd.</w:t>
      </w:r>
      <w:r w:rsidR="000029C2" w:rsidRPr="008E33DF">
        <w:rPr>
          <w:rFonts w:cs="Helvetica"/>
          <w:szCs w:val="20"/>
        </w:rPr>
        <w:t xml:space="preserve"> Op grond hiervan heeft de rechter het beroep op art. 7:232 lid 2 BW afgewezen.</w:t>
      </w:r>
      <w:r w:rsidR="009777C7" w:rsidRPr="008E33DF">
        <w:rPr>
          <w:rStyle w:val="Voetnootmarkering"/>
          <w:rFonts w:cs="Helvetica"/>
          <w:szCs w:val="20"/>
        </w:rPr>
        <w:footnoteReference w:id="60"/>
      </w:r>
      <w:r w:rsidR="00721A5E" w:rsidRPr="008E33DF">
        <w:rPr>
          <w:rFonts w:cs="Helvetica"/>
          <w:szCs w:val="20"/>
        </w:rPr>
        <w:t xml:space="preserve"> </w:t>
      </w:r>
      <w:r w:rsidR="000029C2" w:rsidRPr="008E33DF">
        <w:rPr>
          <w:rFonts w:cs="Helvetica"/>
          <w:szCs w:val="20"/>
        </w:rPr>
        <w:t>Ook kan de</w:t>
      </w:r>
      <w:r w:rsidR="00B23E8B" w:rsidRPr="008E33DF">
        <w:rPr>
          <w:rFonts w:cs="Helvetica"/>
          <w:szCs w:val="20"/>
        </w:rPr>
        <w:t xml:space="preserve"> huurovereenkomst die</w:t>
      </w:r>
      <w:r w:rsidR="000029C2" w:rsidRPr="008E33DF">
        <w:rPr>
          <w:rFonts w:cs="Helvetica"/>
          <w:szCs w:val="20"/>
        </w:rPr>
        <w:t xml:space="preserve"> met instemming van partijen</w:t>
      </w:r>
      <w:r w:rsidR="00B23E8B" w:rsidRPr="008E33DF">
        <w:rPr>
          <w:rFonts w:cs="Helvetica"/>
          <w:szCs w:val="20"/>
        </w:rPr>
        <w:t xml:space="preserve"> meerdere malen wordt verlengd</w:t>
      </w:r>
      <w:r w:rsidR="00721A5E" w:rsidRPr="008E33DF">
        <w:rPr>
          <w:rFonts w:cs="Helvetica"/>
          <w:szCs w:val="20"/>
        </w:rPr>
        <w:t xml:space="preserve"> </w:t>
      </w:r>
      <w:r w:rsidR="00B23E8B" w:rsidRPr="008E33DF">
        <w:rPr>
          <w:rFonts w:cs="Helvetica"/>
          <w:szCs w:val="20"/>
        </w:rPr>
        <w:t>aangemerkt word</w:t>
      </w:r>
      <w:r w:rsidR="000029C2" w:rsidRPr="008E33DF">
        <w:rPr>
          <w:rFonts w:cs="Helvetica"/>
          <w:szCs w:val="20"/>
        </w:rPr>
        <w:t>en als reguliere huur</w:t>
      </w:r>
      <w:r w:rsidR="00B23E8B" w:rsidRPr="008E33DF">
        <w:rPr>
          <w:rFonts w:cs="Helvetica"/>
          <w:szCs w:val="20"/>
        </w:rPr>
        <w:t>.</w:t>
      </w:r>
      <w:r w:rsidR="000029C2" w:rsidRPr="008E33DF">
        <w:rPr>
          <w:rFonts w:cs="Helvetica"/>
          <w:szCs w:val="20"/>
        </w:rPr>
        <w:t xml:space="preserve"> Als een huurovereenkomst meerdere malen wordt verlengd, verliest deze zijn tijdelijke karakter.</w:t>
      </w:r>
      <w:r w:rsidR="00B23E8B" w:rsidRPr="008E33DF">
        <w:rPr>
          <w:rStyle w:val="Voetnootmarkering"/>
          <w:rFonts w:cs="Helvetica"/>
          <w:szCs w:val="20"/>
        </w:rPr>
        <w:footnoteReference w:id="61"/>
      </w:r>
    </w:p>
    <w:p w:rsidR="009777C7" w:rsidRPr="008E33DF" w:rsidRDefault="009777C7" w:rsidP="00040133">
      <w:pPr>
        <w:rPr>
          <w:rFonts w:cs="Helvetica"/>
          <w:szCs w:val="20"/>
        </w:rPr>
      </w:pPr>
    </w:p>
    <w:p w:rsidR="009777C7" w:rsidRPr="008E33DF" w:rsidRDefault="009777C7" w:rsidP="00040133">
      <w:pPr>
        <w:rPr>
          <w:rFonts w:cs="Helvetica"/>
          <w:szCs w:val="20"/>
        </w:rPr>
      </w:pPr>
      <w:r w:rsidRPr="008E33DF">
        <w:rPr>
          <w:rFonts w:cs="Helvetica"/>
          <w:szCs w:val="20"/>
        </w:rPr>
        <w:t>Uit de uitspraak van Rb. Noord-Nederland van 17 oktober 2014 blijkt</w:t>
      </w:r>
      <w:r w:rsidR="00A703ED" w:rsidRPr="008E33DF">
        <w:rPr>
          <w:rFonts w:cs="Helvetica"/>
          <w:szCs w:val="20"/>
        </w:rPr>
        <w:t xml:space="preserve"> tevens</w:t>
      </w:r>
      <w:r w:rsidRPr="008E33DF">
        <w:rPr>
          <w:rFonts w:cs="Helvetica"/>
          <w:szCs w:val="20"/>
        </w:rPr>
        <w:t xml:space="preserve"> dat de verlenging niet perse </w:t>
      </w:r>
      <w:r w:rsidR="00D708B5" w:rsidRPr="008E33DF">
        <w:rPr>
          <w:rFonts w:cs="Helvetica"/>
          <w:szCs w:val="20"/>
        </w:rPr>
        <w:t xml:space="preserve">hoeft te leiden </w:t>
      </w:r>
      <w:r w:rsidR="000029C2" w:rsidRPr="008E33DF">
        <w:rPr>
          <w:rFonts w:cs="Helvetica"/>
          <w:szCs w:val="20"/>
        </w:rPr>
        <w:t>tot</w:t>
      </w:r>
      <w:r w:rsidR="00D708B5" w:rsidRPr="008E33DF">
        <w:rPr>
          <w:rFonts w:cs="Helvetica"/>
          <w:szCs w:val="20"/>
        </w:rPr>
        <w:t xml:space="preserve"> een</w:t>
      </w:r>
      <w:r w:rsidR="00041005" w:rsidRPr="008E33DF">
        <w:rPr>
          <w:rFonts w:cs="Helvetica"/>
          <w:szCs w:val="20"/>
        </w:rPr>
        <w:t xml:space="preserve"> afwijzing van het beroep op art. 7:232 lid 2 BW. In de</w:t>
      </w:r>
      <w:r w:rsidR="00A1337F" w:rsidRPr="008E33DF">
        <w:rPr>
          <w:rFonts w:cs="Helvetica"/>
          <w:szCs w:val="20"/>
        </w:rPr>
        <w:t>ze</w:t>
      </w:r>
      <w:r w:rsidR="00041005" w:rsidRPr="008E33DF">
        <w:rPr>
          <w:rFonts w:cs="Helvetica"/>
          <w:szCs w:val="20"/>
        </w:rPr>
        <w:t xml:space="preserve"> uitspraak is </w:t>
      </w:r>
      <w:r w:rsidR="00A1337F" w:rsidRPr="008E33DF">
        <w:rPr>
          <w:rFonts w:cs="Helvetica"/>
          <w:szCs w:val="20"/>
        </w:rPr>
        <w:t xml:space="preserve">de </w:t>
      </w:r>
      <w:r w:rsidR="00041005" w:rsidRPr="008E33DF">
        <w:rPr>
          <w:rFonts w:cs="Helvetica"/>
          <w:szCs w:val="20"/>
        </w:rPr>
        <w:t xml:space="preserve">rechter van oordeel dat de huurovereenkomst is aangegaan voor korte duur en </w:t>
      </w:r>
      <w:r w:rsidR="00721A5E" w:rsidRPr="008E33DF">
        <w:rPr>
          <w:rFonts w:cs="Helvetica"/>
          <w:szCs w:val="20"/>
        </w:rPr>
        <w:t>dat dit ook de bedoeling was van beide partijen.</w:t>
      </w:r>
      <w:r w:rsidR="00041005" w:rsidRPr="008E33DF">
        <w:rPr>
          <w:rFonts w:cs="Helvetica"/>
          <w:szCs w:val="20"/>
        </w:rPr>
        <w:t xml:space="preserve"> De huurovereenkomst is </w:t>
      </w:r>
      <w:r w:rsidR="00721A5E" w:rsidRPr="008E33DF">
        <w:rPr>
          <w:rFonts w:cs="Helvetica"/>
          <w:szCs w:val="20"/>
        </w:rPr>
        <w:t>echter stilzwijgend verlengd voor</w:t>
      </w:r>
      <w:r w:rsidR="00041005" w:rsidRPr="008E33DF">
        <w:rPr>
          <w:rFonts w:cs="Helvetica"/>
          <w:szCs w:val="20"/>
        </w:rPr>
        <w:t xml:space="preserve"> onbepaalde tijd. De recht</w:t>
      </w:r>
      <w:r w:rsidR="006C3DD0" w:rsidRPr="008E33DF">
        <w:rPr>
          <w:rFonts w:cs="Helvetica"/>
          <w:szCs w:val="20"/>
        </w:rPr>
        <w:t xml:space="preserve">er oordeelt dat de </w:t>
      </w:r>
      <w:r w:rsidR="00A1337F" w:rsidRPr="008E33DF">
        <w:rPr>
          <w:rFonts w:cs="Helvetica"/>
          <w:szCs w:val="20"/>
        </w:rPr>
        <w:t>ver</w:t>
      </w:r>
      <w:r w:rsidR="006C3DD0" w:rsidRPr="008E33DF">
        <w:rPr>
          <w:rFonts w:cs="Helvetica"/>
          <w:szCs w:val="20"/>
        </w:rPr>
        <w:t xml:space="preserve">huurder </w:t>
      </w:r>
      <w:r w:rsidR="000029C2" w:rsidRPr="008E33DF">
        <w:rPr>
          <w:rFonts w:cs="Helvetica"/>
          <w:szCs w:val="20"/>
        </w:rPr>
        <w:t>bij ommekomst</w:t>
      </w:r>
      <w:r w:rsidR="006C3DD0" w:rsidRPr="008E33DF">
        <w:rPr>
          <w:rFonts w:cs="Helvetica"/>
          <w:szCs w:val="20"/>
        </w:rPr>
        <w:t xml:space="preserve"> van de huurtermijn duidelijk</w:t>
      </w:r>
      <w:r w:rsidR="00721A5E" w:rsidRPr="008E33DF">
        <w:rPr>
          <w:rFonts w:cs="Helvetica"/>
          <w:szCs w:val="20"/>
        </w:rPr>
        <w:t xml:space="preserve"> aan de huurder moet</w:t>
      </w:r>
      <w:r w:rsidR="000029C2" w:rsidRPr="008E33DF">
        <w:rPr>
          <w:rFonts w:cs="Helvetica"/>
          <w:szCs w:val="20"/>
        </w:rPr>
        <w:t xml:space="preserve"> melden</w:t>
      </w:r>
      <w:r w:rsidR="00721A5E" w:rsidRPr="008E33DF">
        <w:rPr>
          <w:rFonts w:cs="Helvetica"/>
          <w:szCs w:val="20"/>
        </w:rPr>
        <w:t xml:space="preserve"> </w:t>
      </w:r>
      <w:r w:rsidR="006C3DD0" w:rsidRPr="008E33DF">
        <w:rPr>
          <w:rFonts w:cs="Helvetica"/>
          <w:szCs w:val="20"/>
        </w:rPr>
        <w:t xml:space="preserve">dat de huur wordt voortgezet met dezelfde </w:t>
      </w:r>
      <w:r w:rsidR="00721A5E" w:rsidRPr="008E33DF">
        <w:rPr>
          <w:rFonts w:cs="Helvetica"/>
          <w:szCs w:val="20"/>
        </w:rPr>
        <w:t>tijdelijke</w:t>
      </w:r>
      <w:r w:rsidR="00A1337F" w:rsidRPr="008E33DF">
        <w:rPr>
          <w:rFonts w:cs="Helvetica"/>
          <w:szCs w:val="20"/>
        </w:rPr>
        <w:t xml:space="preserve"> aard. </w:t>
      </w:r>
      <w:r w:rsidR="006C3DD0" w:rsidRPr="008E33DF">
        <w:rPr>
          <w:rFonts w:cs="Helvetica"/>
          <w:szCs w:val="20"/>
        </w:rPr>
        <w:t>De</w:t>
      </w:r>
      <w:r w:rsidR="00721A5E" w:rsidRPr="008E33DF">
        <w:rPr>
          <w:rFonts w:cs="Helvetica"/>
          <w:szCs w:val="20"/>
        </w:rPr>
        <w:t xml:space="preserve"> voorzetting van de huur zal slechts met toestemming van de verhuurder geschieden en de</w:t>
      </w:r>
      <w:r w:rsidR="006C3DD0" w:rsidRPr="008E33DF">
        <w:rPr>
          <w:rFonts w:cs="Helvetica"/>
          <w:szCs w:val="20"/>
        </w:rPr>
        <w:t xml:space="preserve"> voortgezette huur zal zijn tijdelijke karakter behouden</w:t>
      </w:r>
      <w:r w:rsidR="00A1337F" w:rsidRPr="008E33DF">
        <w:rPr>
          <w:rFonts w:cs="Helvetica"/>
          <w:szCs w:val="20"/>
        </w:rPr>
        <w:t>. De huurder hee</w:t>
      </w:r>
      <w:r w:rsidR="008855CE" w:rsidRPr="008E33DF">
        <w:rPr>
          <w:rFonts w:cs="Helvetica"/>
          <w:szCs w:val="20"/>
        </w:rPr>
        <w:t xml:space="preserve">ft dit in dit geval </w:t>
      </w:r>
      <w:r w:rsidR="00A703ED" w:rsidRPr="008E33DF">
        <w:rPr>
          <w:rFonts w:cs="Helvetica"/>
          <w:szCs w:val="20"/>
        </w:rPr>
        <w:t>het voor</w:t>
      </w:r>
      <w:r w:rsidR="00721A5E" w:rsidRPr="008E33DF">
        <w:rPr>
          <w:rFonts w:cs="Helvetica"/>
          <w:szCs w:val="20"/>
        </w:rPr>
        <w:t>noem</w:t>
      </w:r>
      <w:r w:rsidR="00A703ED" w:rsidRPr="008E33DF">
        <w:rPr>
          <w:rFonts w:cs="Helvetica"/>
          <w:szCs w:val="20"/>
        </w:rPr>
        <w:t>de onvoldoende kenbaar gemaakt</w:t>
      </w:r>
      <w:r w:rsidR="008855CE" w:rsidRPr="008E33DF">
        <w:rPr>
          <w:rFonts w:cs="Helvetica"/>
          <w:szCs w:val="20"/>
        </w:rPr>
        <w:t xml:space="preserve"> waardoor de huurovereenkomst stilzwijgend is verlengd </w:t>
      </w:r>
      <w:r w:rsidR="00721A5E" w:rsidRPr="008E33DF">
        <w:rPr>
          <w:rFonts w:cs="Helvetica"/>
          <w:szCs w:val="20"/>
        </w:rPr>
        <w:t>voor</w:t>
      </w:r>
      <w:r w:rsidR="008855CE" w:rsidRPr="008E33DF">
        <w:rPr>
          <w:rFonts w:cs="Helvetica"/>
          <w:szCs w:val="20"/>
        </w:rPr>
        <w:t xml:space="preserve"> onbepaalde tijd. Op grond hiervan wordt het beroep op art. 7:232lid </w:t>
      </w:r>
      <w:r w:rsidR="00A703ED" w:rsidRPr="008E33DF">
        <w:rPr>
          <w:rFonts w:cs="Helvetica"/>
          <w:szCs w:val="20"/>
        </w:rPr>
        <w:t xml:space="preserve">BW </w:t>
      </w:r>
      <w:r w:rsidR="008855CE" w:rsidRPr="008E33DF">
        <w:rPr>
          <w:rFonts w:cs="Helvetica"/>
          <w:szCs w:val="20"/>
        </w:rPr>
        <w:t>2 afgewezen.</w:t>
      </w:r>
      <w:r w:rsidR="00A1337F" w:rsidRPr="008E33DF">
        <w:rPr>
          <w:rFonts w:cs="Helvetica"/>
          <w:szCs w:val="20"/>
        </w:rPr>
        <w:t xml:space="preserve"> Uit de beoordelingen van de rechter blijkt</w:t>
      </w:r>
      <w:r w:rsidR="00721A5E" w:rsidRPr="008E33DF">
        <w:rPr>
          <w:rFonts w:cs="Helvetica"/>
          <w:szCs w:val="20"/>
        </w:rPr>
        <w:t>,</w:t>
      </w:r>
      <w:r w:rsidR="00A1337F" w:rsidRPr="008E33DF">
        <w:rPr>
          <w:rFonts w:cs="Helvetica"/>
          <w:szCs w:val="20"/>
        </w:rPr>
        <w:t xml:space="preserve"> dat indien de verhuurder dit wel</w:t>
      </w:r>
      <w:r w:rsidR="00A703ED" w:rsidRPr="008E33DF">
        <w:rPr>
          <w:rFonts w:cs="Helvetica"/>
          <w:szCs w:val="20"/>
        </w:rPr>
        <w:t xml:space="preserve"> kenbaar</w:t>
      </w:r>
      <w:r w:rsidR="00721A5E" w:rsidRPr="008E33DF">
        <w:rPr>
          <w:rFonts w:cs="Helvetica"/>
          <w:szCs w:val="20"/>
        </w:rPr>
        <w:t xml:space="preserve"> </w:t>
      </w:r>
      <w:r w:rsidR="00D708B5" w:rsidRPr="008E33DF">
        <w:rPr>
          <w:rFonts w:cs="Helvetica"/>
          <w:szCs w:val="20"/>
        </w:rPr>
        <w:t>zou hebben</w:t>
      </w:r>
      <w:r w:rsidR="00A1337F" w:rsidRPr="008E33DF">
        <w:rPr>
          <w:rFonts w:cs="Helvetica"/>
          <w:szCs w:val="20"/>
        </w:rPr>
        <w:t xml:space="preserve"> ge</w:t>
      </w:r>
      <w:r w:rsidR="00D708B5" w:rsidRPr="008E33DF">
        <w:rPr>
          <w:rFonts w:cs="Helvetica"/>
          <w:szCs w:val="20"/>
        </w:rPr>
        <w:t>maakt</w:t>
      </w:r>
      <w:r w:rsidR="00721A5E" w:rsidRPr="008E33DF">
        <w:rPr>
          <w:rFonts w:cs="Helvetica"/>
          <w:szCs w:val="20"/>
        </w:rPr>
        <w:t>, hij</w:t>
      </w:r>
      <w:r w:rsidR="008855CE" w:rsidRPr="008E33DF">
        <w:rPr>
          <w:rFonts w:cs="Helvetica"/>
          <w:szCs w:val="20"/>
        </w:rPr>
        <w:t xml:space="preserve"> tot een ander</w:t>
      </w:r>
      <w:r w:rsidR="00D708B5" w:rsidRPr="008E33DF">
        <w:rPr>
          <w:rFonts w:cs="Helvetica"/>
          <w:szCs w:val="20"/>
        </w:rPr>
        <w:t>e</w:t>
      </w:r>
      <w:r w:rsidR="008855CE" w:rsidRPr="008E33DF">
        <w:rPr>
          <w:rFonts w:cs="Helvetica"/>
          <w:szCs w:val="20"/>
        </w:rPr>
        <w:t xml:space="preserve"> conclusie</w:t>
      </w:r>
      <w:r w:rsidR="00D708B5" w:rsidRPr="008E33DF">
        <w:rPr>
          <w:rFonts w:cs="Helvetica"/>
          <w:szCs w:val="20"/>
        </w:rPr>
        <w:t xml:space="preserve"> had</w:t>
      </w:r>
      <w:r w:rsidR="008855CE" w:rsidRPr="008E33DF">
        <w:rPr>
          <w:rFonts w:cs="Helvetica"/>
          <w:szCs w:val="20"/>
        </w:rPr>
        <w:t xml:space="preserve"> kunnen komen.</w:t>
      </w:r>
    </w:p>
    <w:p w:rsidR="008855CE" w:rsidRPr="008E33DF" w:rsidRDefault="008855CE" w:rsidP="00040133">
      <w:pPr>
        <w:rPr>
          <w:rFonts w:cs="Helvetica"/>
          <w:szCs w:val="20"/>
        </w:rPr>
      </w:pPr>
    </w:p>
    <w:p w:rsidR="00D708B5" w:rsidRPr="008E33DF" w:rsidRDefault="006B452A" w:rsidP="007703F7">
      <w:pPr>
        <w:rPr>
          <w:rFonts w:cs="Helvetica"/>
          <w:szCs w:val="20"/>
        </w:rPr>
      </w:pPr>
      <w:r w:rsidRPr="008E33DF">
        <w:rPr>
          <w:rFonts w:cs="Helvetica"/>
          <w:szCs w:val="20"/>
        </w:rPr>
        <w:t xml:space="preserve">Uit tabel 9 blijkt verder </w:t>
      </w:r>
      <w:r w:rsidR="00AE037E" w:rsidRPr="008E33DF">
        <w:rPr>
          <w:rFonts w:cs="Helvetica"/>
          <w:szCs w:val="20"/>
        </w:rPr>
        <w:t xml:space="preserve">dat </w:t>
      </w:r>
      <w:r w:rsidR="00AE037E" w:rsidRPr="008E33DF">
        <w:rPr>
          <w:rFonts w:cs="Helvetica"/>
          <w:b/>
          <w:szCs w:val="20"/>
        </w:rPr>
        <w:t>duidelijk</w:t>
      </w:r>
      <w:r w:rsidR="00A703ED" w:rsidRPr="008E33DF">
        <w:rPr>
          <w:rFonts w:cs="Helvetica"/>
          <w:b/>
          <w:szCs w:val="20"/>
        </w:rPr>
        <w:t>heid</w:t>
      </w:r>
      <w:r w:rsidR="00721A5E" w:rsidRPr="008E33DF">
        <w:rPr>
          <w:rFonts w:cs="Helvetica"/>
          <w:b/>
          <w:szCs w:val="20"/>
        </w:rPr>
        <w:t xml:space="preserve"> </w:t>
      </w:r>
      <w:r w:rsidR="00AE037E" w:rsidRPr="008E33DF">
        <w:rPr>
          <w:rFonts w:cs="Helvetica"/>
          <w:b/>
          <w:szCs w:val="20"/>
        </w:rPr>
        <w:t>over de huurperiode of de einddatum</w:t>
      </w:r>
      <w:r w:rsidR="00AE037E" w:rsidRPr="008E33DF">
        <w:rPr>
          <w:rFonts w:cs="Helvetica"/>
          <w:szCs w:val="20"/>
        </w:rPr>
        <w:t xml:space="preserve"> van de huur een rol kan spelen in de beoordeling van de rechter. Wanneer de verhuurder niet duidelijk heeft gemaakt voor welke periode</w:t>
      </w:r>
      <w:r w:rsidR="00D708B5" w:rsidRPr="008E33DF">
        <w:rPr>
          <w:rFonts w:cs="Helvetica"/>
          <w:szCs w:val="20"/>
        </w:rPr>
        <w:t xml:space="preserve"> de huurovereenkomst</w:t>
      </w:r>
      <w:r w:rsidR="00AE037E" w:rsidRPr="008E33DF">
        <w:rPr>
          <w:rFonts w:cs="Helvetica"/>
          <w:szCs w:val="20"/>
        </w:rPr>
        <w:t xml:space="preserve"> is aangegaan en wanneer deze eindigt, kan de rechter op grond hiervan het beroep op art. 7:232 lid 2 BW afwijzen.</w:t>
      </w:r>
      <w:r w:rsidR="00AE037E" w:rsidRPr="008E33DF">
        <w:rPr>
          <w:rStyle w:val="Voetnootmarkering"/>
          <w:rFonts w:cs="Helvetica"/>
          <w:szCs w:val="20"/>
        </w:rPr>
        <w:footnoteReference w:id="62"/>
      </w:r>
      <w:r w:rsidR="007703F7" w:rsidRPr="008E33DF">
        <w:rPr>
          <w:rFonts w:cs="Helvetica"/>
          <w:szCs w:val="20"/>
        </w:rPr>
        <w:t xml:space="preserve"> Het moet dus duidelijk zijn voor welke periode de huurovereenkomst is aangegaan en wanneer deze eindigt. </w:t>
      </w:r>
    </w:p>
    <w:p w:rsidR="007703F7" w:rsidRPr="008E33DF" w:rsidRDefault="007703F7" w:rsidP="007703F7">
      <w:pPr>
        <w:rPr>
          <w:rFonts w:cs="Helvetica"/>
          <w:szCs w:val="20"/>
        </w:rPr>
      </w:pPr>
      <w:r w:rsidRPr="008E33DF">
        <w:rPr>
          <w:rFonts w:cs="Helvetica"/>
          <w:szCs w:val="20"/>
        </w:rPr>
        <w:t xml:space="preserve">Het </w:t>
      </w:r>
      <w:r w:rsidRPr="008E33DF">
        <w:rPr>
          <w:rFonts w:cs="Helvetica"/>
          <w:b/>
          <w:szCs w:val="20"/>
        </w:rPr>
        <w:t>slechts bedingen van een bepaalde periode</w:t>
      </w:r>
      <w:r w:rsidRPr="008E33DF">
        <w:rPr>
          <w:rFonts w:cs="Helvetica"/>
          <w:szCs w:val="20"/>
        </w:rPr>
        <w:t xml:space="preserve"> in de huurovereenkomst is echter op zichzelf onvoldoende om de huur aan te kunnen m</w:t>
      </w:r>
      <w:r w:rsidR="00856A85" w:rsidRPr="008E33DF">
        <w:rPr>
          <w:rFonts w:cs="Helvetica"/>
          <w:szCs w:val="20"/>
        </w:rPr>
        <w:t>erken als huur van woonruimte die</w:t>
      </w:r>
      <w:r w:rsidRPr="008E33DF">
        <w:rPr>
          <w:rFonts w:cs="Helvetica"/>
          <w:szCs w:val="20"/>
        </w:rPr>
        <w:t xml:space="preserve"> naar zijn aard van korte duur is.</w:t>
      </w:r>
      <w:r w:rsidR="00197F74" w:rsidRPr="008E33DF">
        <w:rPr>
          <w:rStyle w:val="Voetnootmarkering"/>
          <w:rFonts w:cs="Helvetica"/>
          <w:szCs w:val="20"/>
        </w:rPr>
        <w:footnoteReference w:id="63"/>
      </w:r>
    </w:p>
    <w:p w:rsidR="009777C7" w:rsidRPr="008E33DF" w:rsidRDefault="009777C7" w:rsidP="00040133">
      <w:pPr>
        <w:rPr>
          <w:rFonts w:cs="Helvetica"/>
          <w:szCs w:val="20"/>
        </w:rPr>
      </w:pPr>
    </w:p>
    <w:p w:rsidR="00AE037E" w:rsidRPr="008E33DF" w:rsidRDefault="007703F7" w:rsidP="00040133">
      <w:pPr>
        <w:rPr>
          <w:rFonts w:cs="Helvetica"/>
          <w:szCs w:val="20"/>
        </w:rPr>
      </w:pPr>
      <w:r w:rsidRPr="008E33DF">
        <w:rPr>
          <w:rFonts w:cs="Helvetica"/>
          <w:szCs w:val="20"/>
        </w:rPr>
        <w:t>Ten slotte</w:t>
      </w:r>
      <w:r w:rsidR="00AE037E" w:rsidRPr="008E33DF">
        <w:rPr>
          <w:rFonts w:cs="Helvetica"/>
          <w:szCs w:val="20"/>
        </w:rPr>
        <w:t xml:space="preserve"> zien we dat de rech</w:t>
      </w:r>
      <w:r w:rsidR="00097C87" w:rsidRPr="008E33DF">
        <w:rPr>
          <w:rFonts w:cs="Helvetica"/>
          <w:szCs w:val="20"/>
        </w:rPr>
        <w:t xml:space="preserve">ter in slechts </w:t>
      </w:r>
      <w:r w:rsidR="00A447D9" w:rsidRPr="008E33DF">
        <w:rPr>
          <w:rFonts w:cs="Helvetica"/>
          <w:szCs w:val="20"/>
        </w:rPr>
        <w:t>drie</w:t>
      </w:r>
      <w:r w:rsidR="00097C87" w:rsidRPr="008E33DF">
        <w:rPr>
          <w:rFonts w:cs="Helvetica"/>
          <w:szCs w:val="20"/>
        </w:rPr>
        <w:t xml:space="preserve"> uitspraken iets zegt </w:t>
      </w:r>
      <w:r w:rsidR="00AE037E" w:rsidRPr="008E33DF">
        <w:rPr>
          <w:rFonts w:cs="Helvetica"/>
          <w:szCs w:val="20"/>
        </w:rPr>
        <w:t xml:space="preserve">over de </w:t>
      </w:r>
      <w:r w:rsidR="00AE037E" w:rsidRPr="008E33DF">
        <w:rPr>
          <w:rFonts w:cs="Helvetica"/>
          <w:b/>
          <w:szCs w:val="20"/>
        </w:rPr>
        <w:t>werkelijk</w:t>
      </w:r>
      <w:r w:rsidR="00856A85" w:rsidRPr="008E33DF">
        <w:rPr>
          <w:rFonts w:cs="Helvetica"/>
          <w:b/>
          <w:szCs w:val="20"/>
        </w:rPr>
        <w:t>e</w:t>
      </w:r>
      <w:r w:rsidR="00AE037E" w:rsidRPr="008E33DF">
        <w:rPr>
          <w:rFonts w:cs="Helvetica"/>
          <w:b/>
          <w:szCs w:val="20"/>
        </w:rPr>
        <w:t xml:space="preserve"> duur van de huurovereenkomst</w:t>
      </w:r>
      <w:r w:rsidR="00AE037E" w:rsidRPr="008E33DF">
        <w:rPr>
          <w:rFonts w:cs="Helvetica"/>
          <w:szCs w:val="20"/>
        </w:rPr>
        <w:t>.</w:t>
      </w:r>
      <w:r w:rsidR="00A447D9" w:rsidRPr="008E33DF">
        <w:rPr>
          <w:rFonts w:cs="Helvetica"/>
          <w:szCs w:val="20"/>
        </w:rPr>
        <w:t xml:space="preserve"> </w:t>
      </w:r>
      <w:r w:rsidRPr="008E33DF">
        <w:rPr>
          <w:rFonts w:cs="Helvetica"/>
          <w:szCs w:val="20"/>
        </w:rPr>
        <w:t xml:space="preserve">Zo </w:t>
      </w:r>
      <w:r w:rsidR="00A447D9" w:rsidRPr="008E33DF">
        <w:rPr>
          <w:rFonts w:cs="Helvetica"/>
          <w:szCs w:val="20"/>
        </w:rPr>
        <w:t>luidt</w:t>
      </w:r>
      <w:r w:rsidR="00197F74" w:rsidRPr="008E33DF">
        <w:rPr>
          <w:rFonts w:cs="Helvetica"/>
          <w:szCs w:val="20"/>
        </w:rPr>
        <w:t xml:space="preserve"> de uitspraak van Rb. Amsterdam van 29 oktober 2015</w:t>
      </w:r>
      <w:r w:rsidRPr="008E33DF">
        <w:rPr>
          <w:rFonts w:cs="Helvetica"/>
          <w:szCs w:val="20"/>
        </w:rPr>
        <w:t xml:space="preserve"> bijvoorbeeld dat </w:t>
      </w:r>
      <w:r w:rsidR="00893161">
        <w:rPr>
          <w:rFonts w:cs="Helvetica"/>
          <w:i/>
          <w:szCs w:val="20"/>
        </w:rPr>
        <w:t>"</w:t>
      </w:r>
      <w:r w:rsidRPr="008E33DF">
        <w:rPr>
          <w:rFonts w:cs="Helvetica"/>
          <w:i/>
          <w:szCs w:val="20"/>
        </w:rPr>
        <w:t>naarmate het beoogde gebruik van de ruimte langer duurt, minder snel</w:t>
      </w:r>
      <w:r w:rsidR="00197F74" w:rsidRPr="008E33DF">
        <w:rPr>
          <w:rFonts w:cs="Helvetica"/>
          <w:i/>
          <w:szCs w:val="20"/>
        </w:rPr>
        <w:t xml:space="preserve"> zal</w:t>
      </w:r>
      <w:r w:rsidRPr="008E33DF">
        <w:rPr>
          <w:rFonts w:cs="Helvetica"/>
          <w:i/>
          <w:szCs w:val="20"/>
        </w:rPr>
        <w:t xml:space="preserve"> worden aangenomen dat dit naar zijn aard van korte duur is</w:t>
      </w:r>
      <w:r w:rsidR="00893161">
        <w:rPr>
          <w:rFonts w:cs="Helvetica"/>
          <w:i/>
          <w:szCs w:val="20"/>
        </w:rPr>
        <w:t>"</w:t>
      </w:r>
      <w:r w:rsidRPr="008E33DF">
        <w:rPr>
          <w:rFonts w:cs="Helvetica"/>
          <w:szCs w:val="20"/>
        </w:rPr>
        <w:t>.</w:t>
      </w:r>
      <w:r w:rsidR="00197F74" w:rsidRPr="008E33DF">
        <w:rPr>
          <w:rStyle w:val="Voetnootmarkering"/>
          <w:rFonts w:cs="Helvetica"/>
          <w:szCs w:val="20"/>
        </w:rPr>
        <w:footnoteReference w:id="64"/>
      </w:r>
      <w:r w:rsidR="00A447D9" w:rsidRPr="008E33DF">
        <w:rPr>
          <w:rFonts w:cs="Helvetica"/>
          <w:szCs w:val="20"/>
        </w:rPr>
        <w:t xml:space="preserve"> </w:t>
      </w:r>
      <w:r w:rsidR="00277B48" w:rsidRPr="008E33DF">
        <w:rPr>
          <w:rFonts w:cs="Helvetica"/>
          <w:szCs w:val="20"/>
        </w:rPr>
        <w:t xml:space="preserve">Het feit dat de rechter in slechts </w:t>
      </w:r>
      <w:r w:rsidR="00A447D9" w:rsidRPr="008E33DF">
        <w:rPr>
          <w:rFonts w:cs="Helvetica"/>
          <w:szCs w:val="20"/>
        </w:rPr>
        <w:t>drie</w:t>
      </w:r>
      <w:r w:rsidR="00277B48" w:rsidRPr="008E33DF">
        <w:rPr>
          <w:rFonts w:cs="Helvetica"/>
          <w:szCs w:val="20"/>
        </w:rPr>
        <w:t xml:space="preserve"> uitspraken iets zegt over de werkelijk</w:t>
      </w:r>
      <w:r w:rsidR="00A447D9" w:rsidRPr="008E33DF">
        <w:rPr>
          <w:rFonts w:cs="Helvetica"/>
          <w:szCs w:val="20"/>
        </w:rPr>
        <w:t>e</w:t>
      </w:r>
      <w:r w:rsidR="00277B48" w:rsidRPr="008E33DF">
        <w:rPr>
          <w:rFonts w:cs="Helvetica"/>
          <w:szCs w:val="20"/>
        </w:rPr>
        <w:t xml:space="preserve"> duur</w:t>
      </w:r>
      <w:r w:rsidR="00A447D9" w:rsidRPr="008E33DF">
        <w:rPr>
          <w:rFonts w:cs="Helvetica"/>
          <w:szCs w:val="20"/>
        </w:rPr>
        <w:t>,</w:t>
      </w:r>
      <w:r w:rsidR="00277B48" w:rsidRPr="008E33DF">
        <w:rPr>
          <w:rFonts w:cs="Helvetica"/>
          <w:szCs w:val="20"/>
        </w:rPr>
        <w:t xml:space="preserve"> geeft</w:t>
      </w:r>
      <w:r w:rsidR="00A447D9" w:rsidRPr="008E33DF">
        <w:rPr>
          <w:rFonts w:cs="Helvetica"/>
          <w:szCs w:val="20"/>
        </w:rPr>
        <w:t xml:space="preserve"> de</w:t>
      </w:r>
      <w:r w:rsidR="00277B48" w:rsidRPr="008E33DF">
        <w:rPr>
          <w:rFonts w:cs="Helvetica"/>
          <w:szCs w:val="20"/>
        </w:rPr>
        <w:t xml:space="preserve"> verleiding om te concluderen dat de rechter niet erg geïnteresseerd is in de werkelijke duur van de huurovereenkomst. </w:t>
      </w:r>
      <w:r w:rsidR="00A447D9" w:rsidRPr="008E33DF">
        <w:rPr>
          <w:rFonts w:cs="Helvetica"/>
          <w:szCs w:val="20"/>
        </w:rPr>
        <w:t>Een</w:t>
      </w:r>
      <w:r w:rsidR="00277B48" w:rsidRPr="008E33DF">
        <w:rPr>
          <w:rFonts w:cs="Helvetica"/>
          <w:szCs w:val="20"/>
        </w:rPr>
        <w:t xml:space="preserve"> conclusie</w:t>
      </w:r>
      <w:r w:rsidR="00A447D9" w:rsidRPr="008E33DF">
        <w:rPr>
          <w:rFonts w:cs="Helvetica"/>
          <w:szCs w:val="20"/>
        </w:rPr>
        <w:t xml:space="preserve"> hierover wordt</w:t>
      </w:r>
      <w:r w:rsidR="00277B48" w:rsidRPr="008E33DF">
        <w:rPr>
          <w:rFonts w:cs="Helvetica"/>
          <w:szCs w:val="20"/>
        </w:rPr>
        <w:t xml:space="preserve"> echter pas </w:t>
      </w:r>
      <w:r w:rsidR="00A447D9" w:rsidRPr="008E33DF">
        <w:rPr>
          <w:rFonts w:cs="Helvetica"/>
          <w:szCs w:val="20"/>
        </w:rPr>
        <w:t>ge</w:t>
      </w:r>
      <w:r w:rsidR="00277B48" w:rsidRPr="008E33DF">
        <w:rPr>
          <w:rFonts w:cs="Helvetica"/>
          <w:szCs w:val="20"/>
        </w:rPr>
        <w:t>tr</w:t>
      </w:r>
      <w:r w:rsidR="00A447D9" w:rsidRPr="008E33DF">
        <w:rPr>
          <w:rFonts w:cs="Helvetica"/>
          <w:szCs w:val="20"/>
        </w:rPr>
        <w:t>o</w:t>
      </w:r>
      <w:r w:rsidR="00277B48" w:rsidRPr="008E33DF">
        <w:rPr>
          <w:rFonts w:cs="Helvetica"/>
          <w:szCs w:val="20"/>
        </w:rPr>
        <w:t xml:space="preserve">kken na de behandeling van de toegewezen uitspraken. </w:t>
      </w:r>
    </w:p>
    <w:p w:rsidR="00616AA9" w:rsidRPr="008E33DF" w:rsidRDefault="00616AA9" w:rsidP="00040133">
      <w:pPr>
        <w:rPr>
          <w:rFonts w:cs="Helvetica"/>
          <w:szCs w:val="20"/>
        </w:rPr>
      </w:pPr>
    </w:p>
    <w:p w:rsidR="0040551B" w:rsidRPr="008E33DF" w:rsidRDefault="0040551B" w:rsidP="00893161"/>
    <w:p w:rsidR="009143B7" w:rsidRPr="008E33DF" w:rsidRDefault="00BA7983" w:rsidP="005E7558">
      <w:pPr>
        <w:pStyle w:val="Kop3"/>
      </w:pPr>
      <w:bookmarkStart w:id="54" w:name="_Toc454253682"/>
      <w:r>
        <w:lastRenderedPageBreak/>
        <w:t>5.5</w:t>
      </w:r>
      <w:r w:rsidR="009143B7" w:rsidRPr="008E33DF">
        <w:t>.2</w:t>
      </w:r>
      <w:r w:rsidR="00893161">
        <w:t xml:space="preserve"> </w:t>
      </w:r>
      <w:r w:rsidR="009143B7" w:rsidRPr="008E33DF">
        <w:t>Toegewezen uitspraken</w:t>
      </w:r>
      <w:bookmarkEnd w:id="54"/>
    </w:p>
    <w:p w:rsidR="00A006DD" w:rsidRPr="008E33DF" w:rsidRDefault="009143B7" w:rsidP="00277B48">
      <w:pPr>
        <w:spacing w:line="240" w:lineRule="auto"/>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color w:val="000000"/>
          <w:sz w:val="16"/>
          <w:szCs w:val="16"/>
          <w:lang w:eastAsia="nl-NL"/>
        </w:rPr>
        <w:t xml:space="preserve">Tabel </w:t>
      </w:r>
      <w:r w:rsidR="00977C0B" w:rsidRPr="008E33DF">
        <w:rPr>
          <w:rFonts w:ascii="Calibri" w:eastAsia="Times New Roman" w:hAnsi="Calibri" w:cs="Times New Roman"/>
          <w:b/>
          <w:bCs/>
          <w:color w:val="000000"/>
          <w:sz w:val="16"/>
          <w:szCs w:val="16"/>
          <w:lang w:eastAsia="nl-NL"/>
        </w:rPr>
        <w:t>10</w:t>
      </w:r>
      <w:r w:rsidRPr="008E33DF">
        <w:rPr>
          <w:rFonts w:ascii="Calibri" w:eastAsia="Times New Roman" w:hAnsi="Calibri" w:cs="Times New Roman"/>
          <w:b/>
          <w:bCs/>
          <w:color w:val="000000"/>
          <w:sz w:val="16"/>
          <w:szCs w:val="16"/>
          <w:lang w:eastAsia="nl-NL"/>
        </w:rPr>
        <w:t>, Duur van het gebruik</w:t>
      </w:r>
      <w:r w:rsidR="00977C0B" w:rsidRPr="008E33DF">
        <w:rPr>
          <w:rFonts w:ascii="Calibri" w:eastAsia="Times New Roman" w:hAnsi="Calibri" w:cs="Times New Roman"/>
          <w:b/>
          <w:bCs/>
          <w:color w:val="000000"/>
          <w:sz w:val="16"/>
          <w:szCs w:val="16"/>
          <w:lang w:eastAsia="nl-NL"/>
        </w:rPr>
        <w:t>, feiten en omstandigheden,</w:t>
      </w:r>
    </w:p>
    <w:p w:rsidR="00977C0B" w:rsidRPr="008E33DF" w:rsidRDefault="00277B48" w:rsidP="00277B48">
      <w:pPr>
        <w:spacing w:line="240" w:lineRule="auto"/>
        <w:rPr>
          <w:rFonts w:ascii="Calibri" w:eastAsia="Times New Roman" w:hAnsi="Calibri" w:cs="Times New Roman"/>
          <w:b/>
          <w:bCs/>
          <w:color w:val="000000"/>
          <w:sz w:val="16"/>
          <w:szCs w:val="16"/>
          <w:lang w:eastAsia="nl-NL"/>
        </w:rPr>
      </w:pPr>
      <w:r w:rsidRPr="008E33DF">
        <w:rPr>
          <w:rFonts w:ascii="Calibri" w:eastAsia="Times New Roman" w:hAnsi="Calibri" w:cs="Times New Roman"/>
          <w:b/>
          <w:bCs/>
          <w:noProof/>
          <w:color w:val="000000"/>
          <w:sz w:val="16"/>
          <w:szCs w:val="16"/>
          <w:lang w:eastAsia="nl-NL"/>
        </w:rPr>
        <w:drawing>
          <wp:anchor distT="0" distB="0" distL="114300" distR="114300" simplePos="0" relativeHeight="251674624" behindDoc="0" locked="0" layoutInCell="1" allowOverlap="1">
            <wp:simplePos x="0" y="0"/>
            <wp:positionH relativeFrom="column">
              <wp:posOffset>2474595</wp:posOffset>
            </wp:positionH>
            <wp:positionV relativeFrom="paragraph">
              <wp:posOffset>97790</wp:posOffset>
            </wp:positionV>
            <wp:extent cx="2884805" cy="2376170"/>
            <wp:effectExtent l="19050" t="0" r="10795" b="5080"/>
            <wp:wrapNone/>
            <wp:docPr id="10"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9143B7" w:rsidRPr="008E33DF">
        <w:rPr>
          <w:rFonts w:ascii="Calibri" w:eastAsia="Times New Roman" w:hAnsi="Calibri" w:cs="Times New Roman"/>
          <w:b/>
          <w:bCs/>
          <w:color w:val="000000"/>
          <w:sz w:val="16"/>
          <w:szCs w:val="16"/>
          <w:lang w:eastAsia="nl-NL"/>
        </w:rPr>
        <w:t>beroep op art. 7:232 lid 2</w:t>
      </w:r>
      <w:r w:rsidR="00977C0B" w:rsidRPr="008E33DF">
        <w:rPr>
          <w:rFonts w:ascii="Calibri" w:eastAsia="Times New Roman" w:hAnsi="Calibri" w:cs="Times New Roman"/>
          <w:b/>
          <w:bCs/>
          <w:color w:val="000000"/>
          <w:sz w:val="16"/>
          <w:szCs w:val="16"/>
          <w:lang w:eastAsia="nl-NL"/>
        </w:rPr>
        <w:t xml:space="preserve"> BW</w:t>
      </w:r>
      <w:r w:rsidR="009143B7" w:rsidRPr="008E33DF">
        <w:rPr>
          <w:rFonts w:ascii="Calibri" w:eastAsia="Times New Roman" w:hAnsi="Calibri" w:cs="Times New Roman"/>
          <w:b/>
          <w:bCs/>
          <w:color w:val="000000"/>
          <w:sz w:val="16"/>
          <w:szCs w:val="16"/>
          <w:lang w:eastAsia="nl-NL"/>
        </w:rPr>
        <w:t xml:space="preserve"> wordt </w:t>
      </w:r>
      <w:r w:rsidR="00977C0B" w:rsidRPr="008E33DF">
        <w:rPr>
          <w:rFonts w:ascii="Calibri" w:eastAsia="Times New Roman" w:hAnsi="Calibri" w:cs="Times New Roman"/>
          <w:b/>
          <w:bCs/>
          <w:color w:val="000000"/>
          <w:sz w:val="16"/>
          <w:szCs w:val="16"/>
          <w:lang w:eastAsia="nl-NL"/>
        </w:rPr>
        <w:t xml:space="preserve">toegewezen </w:t>
      </w:r>
    </w:p>
    <w:p w:rsidR="009143B7" w:rsidRPr="008E33DF" w:rsidRDefault="00977C0B" w:rsidP="00277B48">
      <w:pPr>
        <w:spacing w:line="240" w:lineRule="auto"/>
        <w:rPr>
          <w:sz w:val="16"/>
          <w:szCs w:val="16"/>
        </w:rPr>
      </w:pPr>
      <w:r w:rsidRPr="008E33DF">
        <w:rPr>
          <w:rFonts w:ascii="Calibri" w:eastAsia="Times New Roman" w:hAnsi="Calibri" w:cs="Times New Roman"/>
          <w:b/>
          <w:bCs/>
          <w:color w:val="000000"/>
          <w:sz w:val="16"/>
          <w:szCs w:val="16"/>
          <w:lang w:eastAsia="nl-NL"/>
        </w:rPr>
        <w:t>(zie ook bijlage 10</w:t>
      </w:r>
      <w:r w:rsidR="009143B7" w:rsidRPr="008E33DF">
        <w:rPr>
          <w:rFonts w:ascii="Calibri" w:eastAsia="Times New Roman" w:hAnsi="Calibri" w:cs="Times New Roman"/>
          <w:b/>
          <w:bCs/>
          <w:color w:val="000000"/>
          <w:sz w:val="16"/>
          <w:szCs w:val="16"/>
          <w:lang w:eastAsia="nl-NL"/>
        </w:rPr>
        <w:t>).</w:t>
      </w:r>
    </w:p>
    <w:tbl>
      <w:tblPr>
        <w:tblStyle w:val="Lichtraster3"/>
        <w:tblW w:w="3794" w:type="dxa"/>
        <w:tblInd w:w="108" w:type="dxa"/>
        <w:tblLayout w:type="fixed"/>
        <w:tblLook w:val="04A0"/>
      </w:tblPr>
      <w:tblGrid>
        <w:gridCol w:w="959"/>
        <w:gridCol w:w="680"/>
        <w:gridCol w:w="680"/>
        <w:gridCol w:w="680"/>
        <w:gridCol w:w="795"/>
      </w:tblGrid>
      <w:tr w:rsidR="009143B7" w:rsidRPr="008E33DF" w:rsidTr="009143B7">
        <w:trPr>
          <w:cnfStyle w:val="100000000000"/>
        </w:trPr>
        <w:tc>
          <w:tcPr>
            <w:cnfStyle w:val="001000000000"/>
            <w:tcW w:w="3794" w:type="dxa"/>
            <w:gridSpan w:val="5"/>
            <w:vAlign w:val="bottom"/>
          </w:tcPr>
          <w:p w:rsidR="009143B7" w:rsidRPr="008E33DF" w:rsidRDefault="009143B7" w:rsidP="00277B48">
            <w:pPr>
              <w:spacing w:line="240" w:lineRule="auto"/>
              <w:jc w:val="center"/>
              <w:rPr>
                <w:rFonts w:ascii="Calibri" w:eastAsia="Times New Roman" w:hAnsi="Calibri" w:cs="Times New Roman"/>
                <w:bCs w:val="0"/>
                <w:color w:val="000000"/>
                <w:szCs w:val="20"/>
                <w:lang w:eastAsia="nl-NL"/>
              </w:rPr>
            </w:pPr>
            <w:r w:rsidRPr="008E33DF">
              <w:rPr>
                <w:rFonts w:ascii="Calibri" w:eastAsia="Times New Roman" w:hAnsi="Calibri" w:cs="Times New Roman"/>
                <w:bCs w:val="0"/>
                <w:color w:val="000000"/>
                <w:szCs w:val="20"/>
                <w:lang w:eastAsia="nl-NL"/>
              </w:rPr>
              <w:t>Categorieën</w:t>
            </w:r>
          </w:p>
        </w:tc>
      </w:tr>
      <w:tr w:rsidR="009143B7" w:rsidRPr="008E33DF" w:rsidTr="009143B7">
        <w:trPr>
          <w:cnfStyle w:val="000000100000"/>
        </w:trPr>
        <w:tc>
          <w:tcPr>
            <w:cnfStyle w:val="001000000000"/>
            <w:tcW w:w="959" w:type="dxa"/>
            <w:tcBorders>
              <w:bottom w:val="single" w:sz="18" w:space="0" w:color="000000" w:themeColor="text1"/>
            </w:tcBorders>
            <w:shd w:val="clear" w:color="auto" w:fill="auto"/>
            <w:vAlign w:val="bottom"/>
          </w:tcPr>
          <w:p w:rsidR="009143B7" w:rsidRPr="008E33DF" w:rsidRDefault="009143B7" w:rsidP="00277B48">
            <w:pPr>
              <w:spacing w:line="240" w:lineRule="auto"/>
              <w:jc w:val="center"/>
              <w:rPr>
                <w:rFonts w:ascii="Calibri" w:eastAsia="Times New Roman" w:hAnsi="Calibri" w:cs="Times New Roman"/>
                <w:sz w:val="12"/>
                <w:szCs w:val="12"/>
                <w:lang w:eastAsia="nl-NL"/>
              </w:rPr>
            </w:pPr>
            <w:r w:rsidRPr="008E33DF">
              <w:rPr>
                <w:rFonts w:ascii="Calibri" w:eastAsia="Times New Roman" w:hAnsi="Calibri" w:cs="Times New Roman"/>
                <w:sz w:val="12"/>
                <w:szCs w:val="12"/>
                <w:lang w:eastAsia="nl-NL"/>
              </w:rPr>
              <w:t>Nummers uitspraken</w:t>
            </w:r>
          </w:p>
        </w:tc>
        <w:tc>
          <w:tcPr>
            <w:tcW w:w="680" w:type="dxa"/>
            <w:tcBorders>
              <w:bottom w:val="single" w:sz="18" w:space="0" w:color="000000" w:themeColor="text1"/>
            </w:tcBorders>
            <w:shd w:val="clear" w:color="auto" w:fill="E36C0A" w:themeFill="accent6" w:themeFillShade="BF"/>
            <w:vAlign w:val="center"/>
          </w:tcPr>
          <w:p w:rsidR="009143B7" w:rsidRPr="008E33DF" w:rsidRDefault="009143B7" w:rsidP="00277B48">
            <w:pPr>
              <w:spacing w:line="240" w:lineRule="auto"/>
              <w:jc w:val="center"/>
              <w:cnfStyle w:val="000000100000"/>
              <w:rPr>
                <w:rFonts w:ascii="Calibri" w:eastAsia="Times New Roman" w:hAnsi="Calibri" w:cs="Times New Roman"/>
                <w:color w:val="4F6228"/>
                <w:sz w:val="12"/>
                <w:szCs w:val="12"/>
                <w:lang w:eastAsia="nl-NL"/>
              </w:rPr>
            </w:pPr>
          </w:p>
        </w:tc>
        <w:tc>
          <w:tcPr>
            <w:tcW w:w="680" w:type="dxa"/>
            <w:tcBorders>
              <w:bottom w:val="single" w:sz="18" w:space="0" w:color="000000" w:themeColor="text1"/>
            </w:tcBorders>
            <w:shd w:val="clear" w:color="auto" w:fill="31849B" w:themeFill="accent5" w:themeFillShade="BF"/>
            <w:vAlign w:val="center"/>
          </w:tcPr>
          <w:p w:rsidR="009143B7" w:rsidRPr="008E33DF" w:rsidRDefault="009143B7" w:rsidP="00277B48">
            <w:pPr>
              <w:spacing w:line="240" w:lineRule="auto"/>
              <w:jc w:val="center"/>
              <w:cnfStyle w:val="000000100000"/>
              <w:rPr>
                <w:rFonts w:ascii="Calibri" w:eastAsia="Times New Roman" w:hAnsi="Calibri" w:cs="Times New Roman"/>
                <w:color w:val="974807"/>
                <w:sz w:val="12"/>
                <w:szCs w:val="12"/>
                <w:lang w:eastAsia="nl-NL"/>
              </w:rPr>
            </w:pPr>
          </w:p>
        </w:tc>
        <w:tc>
          <w:tcPr>
            <w:tcW w:w="680" w:type="dxa"/>
            <w:tcBorders>
              <w:bottom w:val="single" w:sz="18" w:space="0" w:color="000000" w:themeColor="text1"/>
            </w:tcBorders>
            <w:shd w:val="clear" w:color="auto" w:fill="7030A0"/>
            <w:vAlign w:val="center"/>
          </w:tcPr>
          <w:p w:rsidR="009143B7" w:rsidRPr="008E33DF" w:rsidRDefault="009143B7" w:rsidP="00277B48">
            <w:pPr>
              <w:spacing w:line="240" w:lineRule="auto"/>
              <w:jc w:val="center"/>
              <w:cnfStyle w:val="000000100000"/>
              <w:rPr>
                <w:rFonts w:ascii="Calibri" w:eastAsia="Times New Roman" w:hAnsi="Calibri" w:cs="Times New Roman"/>
                <w:color w:val="FF0000"/>
                <w:sz w:val="12"/>
                <w:szCs w:val="12"/>
                <w:lang w:eastAsia="nl-NL"/>
              </w:rPr>
            </w:pPr>
          </w:p>
        </w:tc>
        <w:tc>
          <w:tcPr>
            <w:tcW w:w="795" w:type="dxa"/>
            <w:tcBorders>
              <w:bottom w:val="single" w:sz="18" w:space="0" w:color="000000" w:themeColor="text1"/>
            </w:tcBorders>
            <w:shd w:val="clear" w:color="auto" w:fill="auto"/>
            <w:vAlign w:val="bottom"/>
          </w:tcPr>
          <w:p w:rsidR="009143B7" w:rsidRPr="008E33DF" w:rsidRDefault="009143B7" w:rsidP="00277B48">
            <w:pPr>
              <w:spacing w:line="240" w:lineRule="auto"/>
              <w:jc w:val="center"/>
              <w:cnfStyle w:val="000000100000"/>
              <w:rPr>
                <w:sz w:val="12"/>
                <w:szCs w:val="12"/>
              </w:rPr>
            </w:pPr>
          </w:p>
        </w:tc>
      </w:tr>
      <w:tr w:rsidR="009143B7" w:rsidRPr="008E33DF" w:rsidTr="009143B7">
        <w:trPr>
          <w:cnfStyle w:val="000000010000"/>
        </w:trPr>
        <w:tc>
          <w:tcPr>
            <w:cnfStyle w:val="001000000000"/>
            <w:tcW w:w="959" w:type="dxa"/>
            <w:tcBorders>
              <w:top w:val="single" w:sz="18" w:space="0" w:color="000000" w:themeColor="text1"/>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3</w:t>
            </w:r>
          </w:p>
        </w:tc>
        <w:tc>
          <w:tcPr>
            <w:tcW w:w="680" w:type="dxa"/>
            <w:tcBorders>
              <w:top w:val="single" w:sz="18" w:space="0" w:color="000000" w:themeColor="text1"/>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r w:rsidRPr="008E33DF">
              <w:rPr>
                <w:sz w:val="12"/>
                <w:szCs w:val="12"/>
              </w:rPr>
              <w:t>1</w:t>
            </w:r>
          </w:p>
        </w:tc>
        <w:tc>
          <w:tcPr>
            <w:tcW w:w="680" w:type="dxa"/>
            <w:tcBorders>
              <w:top w:val="single" w:sz="18" w:space="0" w:color="000000" w:themeColor="text1"/>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p>
        </w:tc>
        <w:tc>
          <w:tcPr>
            <w:tcW w:w="680" w:type="dxa"/>
            <w:tcBorders>
              <w:top w:val="single" w:sz="18" w:space="0" w:color="000000" w:themeColor="text1"/>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r w:rsidRPr="008E33DF">
              <w:rPr>
                <w:sz w:val="12"/>
                <w:szCs w:val="12"/>
              </w:rPr>
              <w:t>1</w:t>
            </w:r>
          </w:p>
        </w:tc>
        <w:tc>
          <w:tcPr>
            <w:tcW w:w="795" w:type="dxa"/>
            <w:tcBorders>
              <w:top w:val="single" w:sz="18" w:space="0" w:color="000000" w:themeColor="text1"/>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010000"/>
              <w:rPr>
                <w:b/>
                <w:sz w:val="12"/>
                <w:szCs w:val="12"/>
              </w:rPr>
            </w:pPr>
            <w:r w:rsidRPr="008E33DF">
              <w:rPr>
                <w:b/>
                <w:sz w:val="12"/>
                <w:szCs w:val="12"/>
              </w:rPr>
              <w:t>2</w:t>
            </w:r>
          </w:p>
        </w:tc>
      </w:tr>
      <w:tr w:rsidR="009143B7" w:rsidRPr="008E33DF" w:rsidTr="009143B7">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4</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r w:rsidRPr="008E33DF">
              <w:rPr>
                <w:sz w:val="12"/>
                <w:szCs w:val="12"/>
              </w:rPr>
              <w:t>1</w:t>
            </w: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100000"/>
              <w:rPr>
                <w:b/>
                <w:sz w:val="12"/>
                <w:szCs w:val="12"/>
              </w:rPr>
            </w:pPr>
            <w:r w:rsidRPr="008E33DF">
              <w:rPr>
                <w:b/>
                <w:sz w:val="12"/>
                <w:szCs w:val="12"/>
              </w:rPr>
              <w:t>1</w:t>
            </w:r>
          </w:p>
        </w:tc>
      </w:tr>
      <w:tr w:rsidR="009143B7" w:rsidRPr="008E33DF" w:rsidTr="009143B7">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5</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r w:rsidRPr="008E33DF">
              <w:rPr>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r w:rsidRPr="008E33DF">
              <w:rPr>
                <w:sz w:val="12"/>
                <w:szCs w:val="12"/>
              </w:rPr>
              <w:t>1</w:t>
            </w: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010000"/>
              <w:rPr>
                <w:b/>
                <w:sz w:val="12"/>
                <w:szCs w:val="12"/>
              </w:rPr>
            </w:pPr>
            <w:r w:rsidRPr="008E33DF">
              <w:rPr>
                <w:b/>
                <w:sz w:val="12"/>
                <w:szCs w:val="12"/>
              </w:rPr>
              <w:t>2</w:t>
            </w:r>
          </w:p>
        </w:tc>
      </w:tr>
      <w:tr w:rsidR="009143B7" w:rsidRPr="008E33DF" w:rsidTr="009143B7">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7</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r w:rsidRPr="008E33DF">
              <w:rPr>
                <w:sz w:val="12"/>
                <w:szCs w:val="12"/>
              </w:rPr>
              <w:t>1</w:t>
            </w: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100000"/>
              <w:rPr>
                <w:b/>
                <w:sz w:val="12"/>
                <w:szCs w:val="12"/>
              </w:rPr>
            </w:pPr>
            <w:r w:rsidRPr="008E33DF">
              <w:rPr>
                <w:b/>
                <w:sz w:val="12"/>
                <w:szCs w:val="12"/>
              </w:rPr>
              <w:t>1</w:t>
            </w:r>
          </w:p>
        </w:tc>
      </w:tr>
      <w:tr w:rsidR="009143B7" w:rsidRPr="008E33DF" w:rsidTr="009143B7">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8</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r w:rsidRPr="008E33DF">
              <w:rPr>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r w:rsidRPr="008E33DF">
              <w:rPr>
                <w:sz w:val="12"/>
                <w:szCs w:val="12"/>
              </w:rPr>
              <w:t>1</w:t>
            </w: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010000"/>
              <w:rPr>
                <w:b/>
                <w:sz w:val="12"/>
                <w:szCs w:val="12"/>
              </w:rPr>
            </w:pPr>
            <w:r w:rsidRPr="008E33DF">
              <w:rPr>
                <w:b/>
                <w:sz w:val="12"/>
                <w:szCs w:val="12"/>
              </w:rPr>
              <w:t>2</w:t>
            </w:r>
          </w:p>
        </w:tc>
      </w:tr>
      <w:tr w:rsidR="009143B7" w:rsidRPr="008E33DF" w:rsidTr="009143B7">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9</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r w:rsidRPr="008E33DF">
              <w:rPr>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r w:rsidRPr="008E33DF">
              <w:rPr>
                <w:sz w:val="12"/>
                <w:szCs w:val="12"/>
              </w:rPr>
              <w:t>1</w:t>
            </w: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100000"/>
              <w:rPr>
                <w:b/>
                <w:sz w:val="12"/>
                <w:szCs w:val="12"/>
              </w:rPr>
            </w:pPr>
            <w:r w:rsidRPr="008E33DF">
              <w:rPr>
                <w:b/>
                <w:sz w:val="12"/>
                <w:szCs w:val="12"/>
              </w:rPr>
              <w:t>2</w:t>
            </w:r>
          </w:p>
        </w:tc>
      </w:tr>
      <w:tr w:rsidR="009143B7" w:rsidRPr="008E33DF" w:rsidTr="009143B7">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10</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r w:rsidRPr="008E33DF">
              <w:rPr>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r w:rsidRPr="008E33DF">
              <w:rPr>
                <w:sz w:val="12"/>
                <w:szCs w:val="12"/>
              </w:rPr>
              <w:t>1</w:t>
            </w: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010000"/>
              <w:rPr>
                <w:b/>
                <w:sz w:val="12"/>
                <w:szCs w:val="12"/>
              </w:rPr>
            </w:pPr>
            <w:r w:rsidRPr="008E33DF">
              <w:rPr>
                <w:b/>
                <w:sz w:val="12"/>
                <w:szCs w:val="12"/>
              </w:rPr>
              <w:t>2</w:t>
            </w:r>
          </w:p>
        </w:tc>
      </w:tr>
      <w:tr w:rsidR="009143B7" w:rsidRPr="008E33DF" w:rsidTr="009143B7">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12</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r w:rsidRPr="008E33DF">
              <w:rPr>
                <w:sz w:val="12"/>
                <w:szCs w:val="12"/>
              </w:rPr>
              <w:t>1</w:t>
            </w: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100000"/>
              <w:rPr>
                <w:b/>
                <w:sz w:val="12"/>
                <w:szCs w:val="12"/>
              </w:rPr>
            </w:pPr>
            <w:r w:rsidRPr="008E33DF">
              <w:rPr>
                <w:b/>
                <w:sz w:val="12"/>
                <w:szCs w:val="12"/>
              </w:rPr>
              <w:t>1</w:t>
            </w:r>
          </w:p>
        </w:tc>
      </w:tr>
      <w:tr w:rsidR="009143B7" w:rsidRPr="008E33DF" w:rsidTr="009143B7">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25</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r w:rsidRPr="008E33DF">
              <w:rPr>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010000"/>
              <w:rPr>
                <w:b/>
                <w:sz w:val="12"/>
                <w:szCs w:val="12"/>
              </w:rPr>
            </w:pPr>
            <w:r w:rsidRPr="008E33DF">
              <w:rPr>
                <w:b/>
                <w:sz w:val="12"/>
                <w:szCs w:val="12"/>
              </w:rPr>
              <w:t>1</w:t>
            </w:r>
          </w:p>
        </w:tc>
      </w:tr>
      <w:tr w:rsidR="009143B7" w:rsidRPr="008E33DF" w:rsidTr="009143B7">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28</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r w:rsidRPr="008E33DF">
              <w:rPr>
                <w:sz w:val="12"/>
                <w:szCs w:val="12"/>
              </w:rPr>
              <w:t>1</w:t>
            </w: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100000"/>
              <w:rPr>
                <w:b/>
                <w:sz w:val="12"/>
                <w:szCs w:val="12"/>
              </w:rPr>
            </w:pPr>
            <w:r w:rsidRPr="008E33DF">
              <w:rPr>
                <w:b/>
                <w:sz w:val="12"/>
                <w:szCs w:val="12"/>
              </w:rPr>
              <w:t>1</w:t>
            </w:r>
          </w:p>
        </w:tc>
      </w:tr>
      <w:tr w:rsidR="009143B7" w:rsidRPr="008E33DF" w:rsidTr="009143B7">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29</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r w:rsidRPr="008E33DF">
              <w:rPr>
                <w:sz w:val="12"/>
                <w:szCs w:val="12"/>
              </w:rPr>
              <w:t>1</w:t>
            </w: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010000"/>
              <w:rPr>
                <w:b/>
                <w:sz w:val="12"/>
                <w:szCs w:val="12"/>
              </w:rPr>
            </w:pPr>
            <w:r w:rsidRPr="008E33DF">
              <w:rPr>
                <w:b/>
                <w:sz w:val="12"/>
                <w:szCs w:val="12"/>
              </w:rPr>
              <w:t>1</w:t>
            </w:r>
          </w:p>
        </w:tc>
      </w:tr>
      <w:tr w:rsidR="009143B7" w:rsidRPr="008E33DF" w:rsidTr="009143B7">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31</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r w:rsidRPr="008E33DF">
              <w:rPr>
                <w:sz w:val="12"/>
                <w:szCs w:val="12"/>
              </w:rPr>
              <w:t>1</w:t>
            </w: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100000"/>
              <w:rPr>
                <w:b/>
                <w:sz w:val="12"/>
                <w:szCs w:val="12"/>
              </w:rPr>
            </w:pPr>
            <w:r w:rsidRPr="008E33DF">
              <w:rPr>
                <w:b/>
                <w:sz w:val="12"/>
                <w:szCs w:val="12"/>
              </w:rPr>
              <w:t>1</w:t>
            </w:r>
          </w:p>
        </w:tc>
      </w:tr>
      <w:tr w:rsidR="009143B7" w:rsidRPr="008E33DF" w:rsidTr="009143B7">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33</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r w:rsidRPr="008E33DF">
              <w:rPr>
                <w:sz w:val="12"/>
                <w:szCs w:val="12"/>
              </w:rPr>
              <w:t>1</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010000"/>
              <w:rPr>
                <w:b/>
                <w:sz w:val="12"/>
                <w:szCs w:val="12"/>
              </w:rPr>
            </w:pPr>
            <w:r w:rsidRPr="008E33DF">
              <w:rPr>
                <w:b/>
                <w:sz w:val="12"/>
                <w:szCs w:val="12"/>
              </w:rPr>
              <w:t>1</w:t>
            </w:r>
          </w:p>
        </w:tc>
      </w:tr>
      <w:tr w:rsidR="009143B7" w:rsidRPr="008E33DF" w:rsidTr="009143B7">
        <w:trPr>
          <w:cnfStyle w:val="00000010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36</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100000"/>
              <w:rPr>
                <w:sz w:val="12"/>
                <w:szCs w:val="12"/>
              </w:rPr>
            </w:pPr>
            <w:r w:rsidRPr="008E33DF">
              <w:rPr>
                <w:sz w:val="12"/>
                <w:szCs w:val="12"/>
              </w:rPr>
              <w:t>1</w:t>
            </w: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100000"/>
              <w:rPr>
                <w:b/>
                <w:sz w:val="12"/>
                <w:szCs w:val="12"/>
              </w:rPr>
            </w:pPr>
            <w:r w:rsidRPr="008E33DF">
              <w:rPr>
                <w:b/>
                <w:sz w:val="12"/>
                <w:szCs w:val="12"/>
              </w:rPr>
              <w:t>1</w:t>
            </w:r>
          </w:p>
        </w:tc>
      </w:tr>
      <w:tr w:rsidR="009143B7" w:rsidRPr="008E33DF" w:rsidTr="009143B7">
        <w:trPr>
          <w:cnfStyle w:val="000000010000"/>
        </w:trPr>
        <w:tc>
          <w:tcPr>
            <w:cnfStyle w:val="001000000000"/>
            <w:tcW w:w="959" w:type="dxa"/>
            <w:tcBorders>
              <w:top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40</w:t>
            </w: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p>
        </w:tc>
        <w:tc>
          <w:tcPr>
            <w:tcW w:w="680" w:type="dxa"/>
            <w:tcBorders>
              <w:top w:val="dotted" w:sz="4" w:space="0" w:color="auto"/>
              <w:left w:val="dotted" w:sz="4" w:space="0" w:color="auto"/>
              <w:bottom w:val="dotted" w:sz="4" w:space="0" w:color="auto"/>
              <w:right w:val="dotted" w:sz="4" w:space="0" w:color="auto"/>
            </w:tcBorders>
            <w:vAlign w:val="center"/>
          </w:tcPr>
          <w:p w:rsidR="009143B7" w:rsidRPr="008E33DF" w:rsidRDefault="009143B7" w:rsidP="00277B48">
            <w:pPr>
              <w:spacing w:line="240" w:lineRule="auto"/>
              <w:jc w:val="center"/>
              <w:cnfStyle w:val="000000010000"/>
              <w:rPr>
                <w:sz w:val="12"/>
                <w:szCs w:val="12"/>
              </w:rPr>
            </w:pPr>
            <w:r w:rsidRPr="008E33DF">
              <w:rPr>
                <w:sz w:val="12"/>
                <w:szCs w:val="12"/>
              </w:rPr>
              <w:t>1</w:t>
            </w:r>
          </w:p>
        </w:tc>
        <w:tc>
          <w:tcPr>
            <w:tcW w:w="795" w:type="dxa"/>
            <w:tcBorders>
              <w:top w:val="dotted" w:sz="4" w:space="0" w:color="auto"/>
              <w:left w:val="single" w:sz="18" w:space="0" w:color="000000" w:themeColor="text1"/>
              <w:bottom w:val="dotted" w:sz="4" w:space="0" w:color="auto"/>
              <w:right w:val="single" w:sz="18" w:space="0" w:color="000000" w:themeColor="text1"/>
            </w:tcBorders>
            <w:vAlign w:val="center"/>
          </w:tcPr>
          <w:p w:rsidR="009143B7" w:rsidRPr="008E33DF" w:rsidRDefault="009143B7" w:rsidP="00277B48">
            <w:pPr>
              <w:spacing w:line="240" w:lineRule="auto"/>
              <w:jc w:val="center"/>
              <w:cnfStyle w:val="000000010000"/>
              <w:rPr>
                <w:b/>
                <w:sz w:val="12"/>
                <w:szCs w:val="12"/>
              </w:rPr>
            </w:pPr>
            <w:r w:rsidRPr="008E33DF">
              <w:rPr>
                <w:b/>
                <w:sz w:val="12"/>
                <w:szCs w:val="12"/>
              </w:rPr>
              <w:t>1</w:t>
            </w:r>
          </w:p>
        </w:tc>
      </w:tr>
      <w:tr w:rsidR="009143B7" w:rsidRPr="008E33DF" w:rsidTr="009143B7">
        <w:trPr>
          <w:cnfStyle w:val="000000100000"/>
        </w:trPr>
        <w:tc>
          <w:tcPr>
            <w:cnfStyle w:val="001000000000"/>
            <w:tcW w:w="959" w:type="dxa"/>
            <w:tcBorders>
              <w:top w:val="single" w:sz="18" w:space="0" w:color="000000" w:themeColor="text1"/>
              <w:left w:val="single" w:sz="18" w:space="0" w:color="000000" w:themeColor="text1"/>
              <w:bottom w:val="single" w:sz="18" w:space="0" w:color="000000" w:themeColor="text1"/>
              <w:right w:val="dotted" w:sz="4" w:space="0" w:color="auto"/>
            </w:tcBorders>
            <w:vAlign w:val="center"/>
          </w:tcPr>
          <w:p w:rsidR="009143B7" w:rsidRPr="008E33DF" w:rsidRDefault="009143B7" w:rsidP="00277B48">
            <w:pPr>
              <w:spacing w:line="240" w:lineRule="auto"/>
              <w:jc w:val="center"/>
              <w:rPr>
                <w:sz w:val="12"/>
                <w:szCs w:val="12"/>
              </w:rPr>
            </w:pPr>
            <w:r w:rsidRPr="008E33DF">
              <w:rPr>
                <w:sz w:val="12"/>
                <w:szCs w:val="12"/>
              </w:rPr>
              <w:t>15</w:t>
            </w:r>
          </w:p>
        </w:tc>
        <w:tc>
          <w:tcPr>
            <w:tcW w:w="680" w:type="dxa"/>
            <w:tcBorders>
              <w:top w:val="single" w:sz="18" w:space="0" w:color="000000" w:themeColor="text1"/>
              <w:left w:val="dotted" w:sz="4" w:space="0" w:color="auto"/>
              <w:bottom w:val="single" w:sz="18" w:space="0" w:color="000000" w:themeColor="text1"/>
              <w:right w:val="dotted" w:sz="4" w:space="0" w:color="auto"/>
            </w:tcBorders>
            <w:vAlign w:val="center"/>
          </w:tcPr>
          <w:p w:rsidR="009143B7" w:rsidRPr="008E33DF" w:rsidRDefault="009143B7" w:rsidP="00277B48">
            <w:pPr>
              <w:spacing w:line="240" w:lineRule="auto"/>
              <w:jc w:val="center"/>
              <w:cnfStyle w:val="000000100000"/>
              <w:rPr>
                <w:b/>
                <w:sz w:val="12"/>
                <w:szCs w:val="12"/>
              </w:rPr>
            </w:pPr>
            <w:r w:rsidRPr="008E33DF">
              <w:rPr>
                <w:b/>
                <w:sz w:val="12"/>
                <w:szCs w:val="12"/>
              </w:rPr>
              <w:t>5</w:t>
            </w:r>
          </w:p>
        </w:tc>
        <w:tc>
          <w:tcPr>
            <w:tcW w:w="680" w:type="dxa"/>
            <w:tcBorders>
              <w:top w:val="single" w:sz="18" w:space="0" w:color="000000" w:themeColor="text1"/>
              <w:left w:val="dotted" w:sz="4" w:space="0" w:color="auto"/>
              <w:bottom w:val="single" w:sz="18" w:space="0" w:color="000000" w:themeColor="text1"/>
              <w:right w:val="dotted" w:sz="4" w:space="0" w:color="auto"/>
            </w:tcBorders>
            <w:vAlign w:val="center"/>
          </w:tcPr>
          <w:p w:rsidR="009143B7" w:rsidRPr="008E33DF" w:rsidRDefault="009143B7" w:rsidP="00277B48">
            <w:pPr>
              <w:spacing w:line="240" w:lineRule="auto"/>
              <w:jc w:val="center"/>
              <w:cnfStyle w:val="000000100000"/>
              <w:rPr>
                <w:b/>
                <w:sz w:val="12"/>
                <w:szCs w:val="12"/>
              </w:rPr>
            </w:pPr>
            <w:r w:rsidRPr="008E33DF">
              <w:rPr>
                <w:b/>
                <w:sz w:val="12"/>
                <w:szCs w:val="12"/>
              </w:rPr>
              <w:t>2</w:t>
            </w:r>
          </w:p>
        </w:tc>
        <w:tc>
          <w:tcPr>
            <w:tcW w:w="680" w:type="dxa"/>
            <w:tcBorders>
              <w:top w:val="single" w:sz="18" w:space="0" w:color="000000" w:themeColor="text1"/>
              <w:left w:val="dotted" w:sz="4" w:space="0" w:color="auto"/>
              <w:bottom w:val="single" w:sz="18" w:space="0" w:color="000000" w:themeColor="text1"/>
              <w:right w:val="dotted" w:sz="4" w:space="0" w:color="auto"/>
            </w:tcBorders>
            <w:vAlign w:val="center"/>
          </w:tcPr>
          <w:p w:rsidR="009143B7" w:rsidRPr="008E33DF" w:rsidRDefault="009143B7" w:rsidP="00277B48">
            <w:pPr>
              <w:spacing w:line="240" w:lineRule="auto"/>
              <w:jc w:val="center"/>
              <w:cnfStyle w:val="000000100000"/>
              <w:rPr>
                <w:b/>
                <w:sz w:val="12"/>
                <w:szCs w:val="12"/>
              </w:rPr>
            </w:pPr>
            <w:r w:rsidRPr="008E33DF">
              <w:rPr>
                <w:b/>
                <w:sz w:val="12"/>
                <w:szCs w:val="12"/>
              </w:rPr>
              <w:t>13</w:t>
            </w:r>
          </w:p>
        </w:tc>
        <w:tc>
          <w:tcPr>
            <w:tcW w:w="795" w:type="dxa"/>
            <w:tcBorders>
              <w:top w:val="single" w:sz="18" w:space="0" w:color="000000" w:themeColor="text1"/>
              <w:left w:val="single" w:sz="18" w:space="0" w:color="000000" w:themeColor="text1"/>
              <w:bottom w:val="single" w:sz="18" w:space="0" w:color="000000" w:themeColor="text1"/>
              <w:right w:val="single" w:sz="12" w:space="0" w:color="000000" w:themeColor="text1"/>
            </w:tcBorders>
            <w:vAlign w:val="center"/>
          </w:tcPr>
          <w:p w:rsidR="009143B7" w:rsidRPr="008E33DF" w:rsidRDefault="009143B7" w:rsidP="00277B48">
            <w:pPr>
              <w:spacing w:line="240" w:lineRule="auto"/>
              <w:jc w:val="center"/>
              <w:cnfStyle w:val="000000100000"/>
              <w:rPr>
                <w:b/>
                <w:sz w:val="12"/>
                <w:szCs w:val="12"/>
              </w:rPr>
            </w:pPr>
            <w:r w:rsidRPr="008E33DF">
              <w:rPr>
                <w:b/>
                <w:sz w:val="12"/>
                <w:szCs w:val="12"/>
              </w:rPr>
              <w:t>Totaal</w:t>
            </w:r>
          </w:p>
        </w:tc>
      </w:tr>
      <w:tr w:rsidR="009143B7" w:rsidRPr="008E33DF" w:rsidTr="009143B7">
        <w:trPr>
          <w:cnfStyle w:val="000000010000"/>
        </w:trPr>
        <w:tc>
          <w:tcPr>
            <w:cnfStyle w:val="001000000000"/>
            <w:tcW w:w="959" w:type="dxa"/>
            <w:tcBorders>
              <w:right w:val="dotted" w:sz="4" w:space="0" w:color="auto"/>
            </w:tcBorders>
            <w:shd w:val="clear" w:color="auto" w:fill="E36C0A" w:themeFill="accent6" w:themeFillShade="BF"/>
            <w:vAlign w:val="center"/>
          </w:tcPr>
          <w:p w:rsidR="009143B7" w:rsidRPr="008E33DF" w:rsidRDefault="009143B7" w:rsidP="00277B48">
            <w:pPr>
              <w:spacing w:line="240" w:lineRule="auto"/>
              <w:jc w:val="center"/>
              <w:rPr>
                <w:sz w:val="12"/>
                <w:szCs w:val="12"/>
              </w:rPr>
            </w:pPr>
          </w:p>
        </w:tc>
        <w:tc>
          <w:tcPr>
            <w:tcW w:w="2835" w:type="dxa"/>
            <w:gridSpan w:val="4"/>
            <w:shd w:val="clear" w:color="auto" w:fill="auto"/>
            <w:vAlign w:val="bottom"/>
          </w:tcPr>
          <w:p w:rsidR="009143B7" w:rsidRPr="008E33DF" w:rsidRDefault="009143B7" w:rsidP="00277B48">
            <w:pPr>
              <w:spacing w:line="240" w:lineRule="auto"/>
              <w:cnfStyle w:val="000000010000"/>
              <w:rPr>
                <w:b/>
                <w:sz w:val="12"/>
                <w:szCs w:val="12"/>
              </w:rPr>
            </w:pPr>
            <w:r w:rsidRPr="008E33DF">
              <w:rPr>
                <w:b/>
                <w:sz w:val="12"/>
                <w:szCs w:val="12"/>
              </w:rPr>
              <w:t>Verlenging/voortzetting</w:t>
            </w:r>
          </w:p>
        </w:tc>
      </w:tr>
      <w:tr w:rsidR="009143B7" w:rsidRPr="008E33DF" w:rsidTr="009143B7">
        <w:trPr>
          <w:cnfStyle w:val="000000100000"/>
        </w:trPr>
        <w:tc>
          <w:tcPr>
            <w:cnfStyle w:val="001000000000"/>
            <w:tcW w:w="959" w:type="dxa"/>
            <w:tcBorders>
              <w:right w:val="dotted" w:sz="4" w:space="0" w:color="auto"/>
            </w:tcBorders>
            <w:shd w:val="clear" w:color="auto" w:fill="31849B" w:themeFill="accent5" w:themeFillShade="BF"/>
            <w:vAlign w:val="center"/>
          </w:tcPr>
          <w:p w:rsidR="009143B7" w:rsidRPr="008E33DF" w:rsidRDefault="009143B7" w:rsidP="00277B48">
            <w:pPr>
              <w:spacing w:line="240" w:lineRule="auto"/>
              <w:jc w:val="center"/>
              <w:rPr>
                <w:sz w:val="12"/>
                <w:szCs w:val="12"/>
              </w:rPr>
            </w:pPr>
          </w:p>
        </w:tc>
        <w:tc>
          <w:tcPr>
            <w:tcW w:w="2835" w:type="dxa"/>
            <w:gridSpan w:val="4"/>
            <w:shd w:val="clear" w:color="auto" w:fill="auto"/>
            <w:vAlign w:val="bottom"/>
          </w:tcPr>
          <w:p w:rsidR="009143B7" w:rsidRPr="008E33DF" w:rsidRDefault="009143B7" w:rsidP="00277B48">
            <w:pPr>
              <w:spacing w:line="240" w:lineRule="auto"/>
              <w:cnfStyle w:val="000000100000"/>
              <w:rPr>
                <w:b/>
                <w:sz w:val="12"/>
                <w:szCs w:val="12"/>
              </w:rPr>
            </w:pPr>
            <w:r w:rsidRPr="008E33DF">
              <w:rPr>
                <w:b/>
                <w:sz w:val="12"/>
                <w:szCs w:val="12"/>
              </w:rPr>
              <w:t>Duidelijkheid over de periode en/of einddatum</w:t>
            </w:r>
          </w:p>
        </w:tc>
      </w:tr>
      <w:tr w:rsidR="009143B7" w:rsidRPr="008E33DF" w:rsidTr="009143B7">
        <w:trPr>
          <w:cnfStyle w:val="000000010000"/>
        </w:trPr>
        <w:tc>
          <w:tcPr>
            <w:cnfStyle w:val="001000000000"/>
            <w:tcW w:w="959" w:type="dxa"/>
            <w:tcBorders>
              <w:right w:val="dotted" w:sz="4" w:space="0" w:color="auto"/>
            </w:tcBorders>
            <w:shd w:val="clear" w:color="auto" w:fill="7030A0"/>
            <w:vAlign w:val="center"/>
          </w:tcPr>
          <w:p w:rsidR="009143B7" w:rsidRPr="008E33DF" w:rsidRDefault="009143B7" w:rsidP="00277B48">
            <w:pPr>
              <w:spacing w:line="240" w:lineRule="auto"/>
              <w:jc w:val="center"/>
              <w:rPr>
                <w:sz w:val="12"/>
                <w:szCs w:val="12"/>
              </w:rPr>
            </w:pPr>
          </w:p>
        </w:tc>
        <w:tc>
          <w:tcPr>
            <w:tcW w:w="2835" w:type="dxa"/>
            <w:gridSpan w:val="4"/>
            <w:shd w:val="clear" w:color="auto" w:fill="auto"/>
            <w:vAlign w:val="bottom"/>
          </w:tcPr>
          <w:p w:rsidR="009143B7" w:rsidRPr="008E33DF" w:rsidRDefault="009143B7" w:rsidP="00277B48">
            <w:pPr>
              <w:spacing w:line="240" w:lineRule="auto"/>
              <w:cnfStyle w:val="000000010000"/>
              <w:rPr>
                <w:b/>
                <w:sz w:val="12"/>
                <w:szCs w:val="12"/>
              </w:rPr>
            </w:pPr>
            <w:r w:rsidRPr="008E33DF">
              <w:rPr>
                <w:b/>
                <w:sz w:val="12"/>
                <w:szCs w:val="12"/>
              </w:rPr>
              <w:t>Werkelijke duur van de overeenkomst</w:t>
            </w:r>
          </w:p>
        </w:tc>
      </w:tr>
    </w:tbl>
    <w:p w:rsidR="009143B7" w:rsidRPr="008E33DF" w:rsidRDefault="009143B7" w:rsidP="009143B7"/>
    <w:p w:rsidR="007E46D1" w:rsidRPr="008E33DF" w:rsidRDefault="00A006DD" w:rsidP="00040133">
      <w:pPr>
        <w:rPr>
          <w:rFonts w:cs="Helvetica"/>
          <w:szCs w:val="20"/>
        </w:rPr>
      </w:pPr>
      <w:r w:rsidRPr="008E33DF">
        <w:rPr>
          <w:rFonts w:cs="Helvetica"/>
          <w:szCs w:val="20"/>
        </w:rPr>
        <w:t>Tabel 9 bevat de feiten en omstandigheden</w:t>
      </w:r>
      <w:r w:rsidR="0040551B" w:rsidRPr="008E33DF">
        <w:rPr>
          <w:rFonts w:cs="Helvetica"/>
          <w:szCs w:val="20"/>
        </w:rPr>
        <w:t xml:space="preserve"> die van belang zijn voor de rechter bij het toetsen op de duur van het gebruik</w:t>
      </w:r>
      <w:r w:rsidRPr="008E33DF">
        <w:rPr>
          <w:rFonts w:cs="Helvetica"/>
          <w:szCs w:val="20"/>
        </w:rPr>
        <w:t xml:space="preserve"> van de uitspraken waarbij het beroep op art. 7:232 lid 2 </w:t>
      </w:r>
      <w:r w:rsidR="00B30BBF" w:rsidRPr="008E33DF">
        <w:rPr>
          <w:rFonts w:cs="Helvetica"/>
          <w:szCs w:val="20"/>
        </w:rPr>
        <w:t xml:space="preserve">BW </w:t>
      </w:r>
      <w:r w:rsidRPr="008E33DF">
        <w:rPr>
          <w:rFonts w:cs="Helvetica"/>
          <w:szCs w:val="20"/>
        </w:rPr>
        <w:t xml:space="preserve">wordt toegewezen. </w:t>
      </w:r>
      <w:r w:rsidR="00BF4334" w:rsidRPr="008E33DF">
        <w:rPr>
          <w:rFonts w:cs="Helvetica"/>
          <w:szCs w:val="20"/>
        </w:rPr>
        <w:t xml:space="preserve">In tegenstelling tot de afgewezen uitspraken is </w:t>
      </w:r>
      <w:r w:rsidR="00A703ED" w:rsidRPr="008E33DF">
        <w:rPr>
          <w:rFonts w:cs="Helvetica"/>
          <w:szCs w:val="20"/>
        </w:rPr>
        <w:t>uit</w:t>
      </w:r>
      <w:r w:rsidR="00856A85" w:rsidRPr="008E33DF">
        <w:rPr>
          <w:rFonts w:cs="Helvetica"/>
          <w:szCs w:val="20"/>
        </w:rPr>
        <w:t xml:space="preserve"> deze</w:t>
      </w:r>
      <w:r w:rsidR="00BF4334" w:rsidRPr="008E33DF">
        <w:rPr>
          <w:rFonts w:cs="Helvetica"/>
          <w:szCs w:val="20"/>
        </w:rPr>
        <w:t xml:space="preserve"> tabel af te lezen dat de rechter</w:t>
      </w:r>
      <w:r w:rsidR="00637026" w:rsidRPr="008E33DF">
        <w:rPr>
          <w:rFonts w:cs="Helvetica"/>
          <w:szCs w:val="20"/>
        </w:rPr>
        <w:t xml:space="preserve"> bij de toegewezen uitspraken</w:t>
      </w:r>
      <w:r w:rsidR="00BF4334" w:rsidRPr="008E33DF">
        <w:rPr>
          <w:rFonts w:cs="Helvetica"/>
          <w:szCs w:val="20"/>
        </w:rPr>
        <w:t xml:space="preserve"> vooral </w:t>
      </w:r>
      <w:r w:rsidR="00801E66" w:rsidRPr="008E33DF">
        <w:rPr>
          <w:rFonts w:cs="Helvetica"/>
          <w:szCs w:val="20"/>
        </w:rPr>
        <w:t>iets zegt</w:t>
      </w:r>
      <w:r w:rsidR="00637026" w:rsidRPr="008E33DF">
        <w:rPr>
          <w:rFonts w:cs="Helvetica"/>
          <w:szCs w:val="20"/>
        </w:rPr>
        <w:t xml:space="preserve"> </w:t>
      </w:r>
      <w:r w:rsidR="00801E66" w:rsidRPr="008E33DF">
        <w:rPr>
          <w:rFonts w:cs="Helvetica"/>
          <w:szCs w:val="20"/>
        </w:rPr>
        <w:t>over</w:t>
      </w:r>
      <w:r w:rsidR="00BF4334" w:rsidRPr="008E33DF">
        <w:rPr>
          <w:rFonts w:cs="Helvetica"/>
          <w:szCs w:val="20"/>
        </w:rPr>
        <w:t xml:space="preserve"> de </w:t>
      </w:r>
      <w:r w:rsidR="00BF4334" w:rsidRPr="008E33DF">
        <w:rPr>
          <w:rFonts w:cs="Helvetica"/>
          <w:b/>
          <w:szCs w:val="20"/>
        </w:rPr>
        <w:t>werkelijke duur van de overeenkomst</w:t>
      </w:r>
      <w:r w:rsidR="00BF4334" w:rsidRPr="008E33DF">
        <w:rPr>
          <w:rFonts w:cs="Helvetica"/>
          <w:szCs w:val="20"/>
        </w:rPr>
        <w:t>.</w:t>
      </w:r>
      <w:r w:rsidR="00801E66" w:rsidRPr="008E33DF">
        <w:rPr>
          <w:rFonts w:cs="Helvetica"/>
          <w:szCs w:val="20"/>
        </w:rPr>
        <w:t xml:space="preserve"> Hierdoor lijkt</w:t>
      </w:r>
      <w:r w:rsidR="00637026" w:rsidRPr="008E33DF">
        <w:rPr>
          <w:rFonts w:cs="Helvetica"/>
          <w:szCs w:val="20"/>
        </w:rPr>
        <w:t xml:space="preserve"> het</w:t>
      </w:r>
      <w:r w:rsidR="00313B86" w:rsidRPr="008E33DF">
        <w:rPr>
          <w:rFonts w:cs="Helvetica"/>
          <w:szCs w:val="20"/>
        </w:rPr>
        <w:t xml:space="preserve"> </w:t>
      </w:r>
      <w:r w:rsidR="00801E66" w:rsidRPr="008E33DF">
        <w:rPr>
          <w:rFonts w:cs="Helvetica"/>
          <w:szCs w:val="20"/>
        </w:rPr>
        <w:t>alsof de werkelijke duur</w:t>
      </w:r>
      <w:r w:rsidR="002F6FA5" w:rsidRPr="008E33DF">
        <w:rPr>
          <w:rFonts w:cs="Helvetica"/>
          <w:szCs w:val="20"/>
        </w:rPr>
        <w:t xml:space="preserve"> </w:t>
      </w:r>
      <w:r w:rsidR="00801E66" w:rsidRPr="008E33DF">
        <w:rPr>
          <w:rFonts w:cs="Helvetica"/>
          <w:szCs w:val="20"/>
        </w:rPr>
        <w:t>een doorslaggevende factor is in de beoordeling van de rechter</w:t>
      </w:r>
      <w:r w:rsidR="00637026" w:rsidRPr="008E33DF">
        <w:rPr>
          <w:rFonts w:cs="Helvetica"/>
          <w:szCs w:val="20"/>
        </w:rPr>
        <w:t>, maar schijn bedriegt. In tien</w:t>
      </w:r>
      <w:r w:rsidR="00801E66" w:rsidRPr="008E33DF">
        <w:rPr>
          <w:rFonts w:cs="Helvetica"/>
          <w:szCs w:val="20"/>
        </w:rPr>
        <w:t xml:space="preserve"> van de </w:t>
      </w:r>
      <w:r w:rsidR="00637026" w:rsidRPr="008E33DF">
        <w:rPr>
          <w:rFonts w:cs="Helvetica"/>
          <w:szCs w:val="20"/>
        </w:rPr>
        <w:t>dertien</w:t>
      </w:r>
      <w:r w:rsidR="00801E66" w:rsidRPr="008E33DF">
        <w:rPr>
          <w:rFonts w:cs="Helvetica"/>
          <w:szCs w:val="20"/>
        </w:rPr>
        <w:t xml:space="preserve"> gevallen waarbij de rechter iets zegt ove</w:t>
      </w:r>
      <w:r w:rsidR="00637026" w:rsidRPr="008E33DF">
        <w:rPr>
          <w:rFonts w:cs="Helvetica"/>
          <w:szCs w:val="20"/>
        </w:rPr>
        <w:t xml:space="preserve">r de werkelijke duur, </w:t>
      </w:r>
      <w:r w:rsidR="00856A85" w:rsidRPr="008E33DF">
        <w:rPr>
          <w:rFonts w:cs="Helvetica"/>
          <w:szCs w:val="20"/>
        </w:rPr>
        <w:t>oordeelt</w:t>
      </w:r>
      <w:r w:rsidR="00801E66" w:rsidRPr="008E33DF">
        <w:rPr>
          <w:rFonts w:cs="Helvetica"/>
          <w:szCs w:val="20"/>
        </w:rPr>
        <w:t xml:space="preserve"> </w:t>
      </w:r>
      <w:r w:rsidR="00637026" w:rsidRPr="008E33DF">
        <w:rPr>
          <w:rFonts w:cs="Helvetica"/>
          <w:szCs w:val="20"/>
        </w:rPr>
        <w:t>hij</w:t>
      </w:r>
      <w:r w:rsidR="00801E66" w:rsidRPr="008E33DF">
        <w:rPr>
          <w:rFonts w:cs="Helvetica"/>
          <w:szCs w:val="20"/>
        </w:rPr>
        <w:t xml:space="preserve"> dat de </w:t>
      </w:r>
      <w:r w:rsidR="00637026" w:rsidRPr="008E33DF">
        <w:rPr>
          <w:rFonts w:cs="Helvetica"/>
          <w:szCs w:val="20"/>
        </w:rPr>
        <w:t xml:space="preserve">werkelijke </w:t>
      </w:r>
      <w:r w:rsidR="00801E66" w:rsidRPr="008E33DF">
        <w:rPr>
          <w:rFonts w:cs="Helvetica"/>
          <w:szCs w:val="20"/>
        </w:rPr>
        <w:t xml:space="preserve">duur niet af doet aan de beoordeling. </w:t>
      </w:r>
      <w:r w:rsidR="00646E35" w:rsidRPr="008E33DF">
        <w:rPr>
          <w:rFonts w:cs="Helvetica"/>
          <w:szCs w:val="20"/>
        </w:rPr>
        <w:t xml:space="preserve">Zo wordt een huurovereenkomst die uiteindelijk </w:t>
      </w:r>
      <w:r w:rsidR="00637026" w:rsidRPr="008E33DF">
        <w:rPr>
          <w:rFonts w:cs="Helvetica"/>
          <w:szCs w:val="20"/>
        </w:rPr>
        <w:t>zes</w:t>
      </w:r>
      <w:r w:rsidR="00646E35" w:rsidRPr="008E33DF">
        <w:rPr>
          <w:rFonts w:cs="Helvetica"/>
          <w:szCs w:val="20"/>
        </w:rPr>
        <w:t xml:space="preserve"> jaar heeft geduurd</w:t>
      </w:r>
      <w:r w:rsidR="00637026" w:rsidRPr="008E33DF">
        <w:rPr>
          <w:rFonts w:cs="Helvetica"/>
          <w:szCs w:val="20"/>
        </w:rPr>
        <w:t xml:space="preserve"> - v</w:t>
      </w:r>
      <w:r w:rsidR="00646E35" w:rsidRPr="008E33DF">
        <w:rPr>
          <w:rFonts w:cs="Helvetica"/>
          <w:szCs w:val="20"/>
        </w:rPr>
        <w:t>eel langer</w:t>
      </w:r>
      <w:r w:rsidR="00856A85" w:rsidRPr="008E33DF">
        <w:rPr>
          <w:rFonts w:cs="Helvetica"/>
          <w:szCs w:val="20"/>
        </w:rPr>
        <w:t xml:space="preserve"> d</w:t>
      </w:r>
      <w:r w:rsidR="00637026" w:rsidRPr="008E33DF">
        <w:rPr>
          <w:rFonts w:cs="Helvetica"/>
          <w:szCs w:val="20"/>
        </w:rPr>
        <w:t>an aanvankelijk werd aangenomen -</w:t>
      </w:r>
      <w:r w:rsidR="00856A85" w:rsidRPr="008E33DF">
        <w:rPr>
          <w:rFonts w:cs="Helvetica"/>
          <w:szCs w:val="20"/>
        </w:rPr>
        <w:t xml:space="preserve"> </w:t>
      </w:r>
      <w:r w:rsidR="00646E35" w:rsidRPr="008E33DF">
        <w:rPr>
          <w:rFonts w:cs="Helvetica"/>
          <w:szCs w:val="20"/>
        </w:rPr>
        <w:t>gekenmerkt als een huurovereenkoms</w:t>
      </w:r>
      <w:r w:rsidR="00856A85" w:rsidRPr="008E33DF">
        <w:rPr>
          <w:rFonts w:cs="Helvetica"/>
          <w:szCs w:val="20"/>
        </w:rPr>
        <w:t>t die</w:t>
      </w:r>
      <w:r w:rsidR="00646E35" w:rsidRPr="008E33DF">
        <w:rPr>
          <w:rFonts w:cs="Helvetica"/>
          <w:szCs w:val="20"/>
        </w:rPr>
        <w:t xml:space="preserve"> naar zijn aard van korte duur is. Het betreft hier een wisselwoning en volgens de rechter is het gebruik </w:t>
      </w:r>
      <w:r w:rsidR="00637026" w:rsidRPr="008E33DF">
        <w:rPr>
          <w:rFonts w:cs="Helvetica"/>
          <w:szCs w:val="20"/>
        </w:rPr>
        <w:t>daar</w:t>
      </w:r>
      <w:r w:rsidR="00646E35" w:rsidRPr="008E33DF">
        <w:rPr>
          <w:rFonts w:cs="Helvetica"/>
          <w:szCs w:val="20"/>
        </w:rPr>
        <w:t>van begrensd</w:t>
      </w:r>
      <w:r w:rsidR="002F6FA5" w:rsidRPr="008E33DF">
        <w:rPr>
          <w:rFonts w:cs="Helvetica"/>
          <w:szCs w:val="20"/>
        </w:rPr>
        <w:t xml:space="preserve"> in duur</w:t>
      </w:r>
      <w:r w:rsidR="00646E35" w:rsidRPr="008E33DF">
        <w:rPr>
          <w:rFonts w:cs="Helvetica"/>
          <w:szCs w:val="20"/>
        </w:rPr>
        <w:t>.</w:t>
      </w:r>
      <w:r w:rsidR="00646E35" w:rsidRPr="008E33DF">
        <w:rPr>
          <w:rStyle w:val="Voetnootmarkering"/>
          <w:rFonts w:cs="Helvetica"/>
          <w:szCs w:val="20"/>
        </w:rPr>
        <w:footnoteReference w:id="65"/>
      </w:r>
      <w:r w:rsidR="00637026" w:rsidRPr="008E33DF">
        <w:rPr>
          <w:rFonts w:cs="Helvetica"/>
          <w:szCs w:val="20"/>
        </w:rPr>
        <w:t xml:space="preserve"> </w:t>
      </w:r>
      <w:r w:rsidR="00A703ED" w:rsidRPr="008E33DF">
        <w:rPr>
          <w:rFonts w:cs="Helvetica"/>
          <w:szCs w:val="20"/>
        </w:rPr>
        <w:t>In de uitspraak van Rb. Den Haag van 22 juli 2013 gaat dit zelfs nog verder. In deze uitspraak gaat het om</w:t>
      </w:r>
      <w:r w:rsidR="00646E35" w:rsidRPr="008E33DF">
        <w:rPr>
          <w:rFonts w:cs="Helvetica"/>
          <w:szCs w:val="20"/>
        </w:rPr>
        <w:t xml:space="preserve"> een huurovereenkomst </w:t>
      </w:r>
      <w:r w:rsidR="00982D6A" w:rsidRPr="008E33DF">
        <w:rPr>
          <w:rFonts w:cs="Helvetica"/>
          <w:szCs w:val="20"/>
        </w:rPr>
        <w:t>die</w:t>
      </w:r>
      <w:r w:rsidR="00646E35" w:rsidRPr="008E33DF">
        <w:rPr>
          <w:rFonts w:cs="Helvetica"/>
          <w:szCs w:val="20"/>
        </w:rPr>
        <w:t xml:space="preserve"> is aangegaan voor onbepaalde tijd</w:t>
      </w:r>
      <w:r w:rsidR="00A703ED" w:rsidRPr="008E33DF">
        <w:rPr>
          <w:rFonts w:cs="Helvetica"/>
          <w:szCs w:val="20"/>
        </w:rPr>
        <w:t>. Deze wordt</w:t>
      </w:r>
      <w:r w:rsidR="00646E35" w:rsidRPr="008E33DF">
        <w:rPr>
          <w:rFonts w:cs="Helvetica"/>
          <w:szCs w:val="20"/>
        </w:rPr>
        <w:t xml:space="preserve"> gekenme</w:t>
      </w:r>
      <w:r w:rsidR="00856A85" w:rsidRPr="008E33DF">
        <w:rPr>
          <w:rFonts w:cs="Helvetica"/>
          <w:szCs w:val="20"/>
        </w:rPr>
        <w:t>rkt als een huurovereenkomst die</w:t>
      </w:r>
      <w:r w:rsidR="00646E35" w:rsidRPr="008E33DF">
        <w:rPr>
          <w:rFonts w:cs="Helvetica"/>
          <w:szCs w:val="20"/>
        </w:rPr>
        <w:t xml:space="preserve"> naar zijn aard van korte duur is. Het betreft in dit geval een aanleunwoning die </w:t>
      </w:r>
      <w:r w:rsidR="0040551B" w:rsidRPr="008E33DF">
        <w:rPr>
          <w:rFonts w:cs="Helvetica"/>
          <w:szCs w:val="20"/>
        </w:rPr>
        <w:t>op de</w:t>
      </w:r>
      <w:r w:rsidR="00646E35" w:rsidRPr="008E33DF">
        <w:rPr>
          <w:rFonts w:cs="Helvetica"/>
          <w:szCs w:val="20"/>
        </w:rPr>
        <w:t xml:space="preserve"> nominatie staat voor sloop. </w:t>
      </w:r>
      <w:r w:rsidR="00982D6A" w:rsidRPr="008E33DF">
        <w:rPr>
          <w:rFonts w:cs="Helvetica"/>
          <w:szCs w:val="20"/>
        </w:rPr>
        <w:t>Dat de huurovereenkomst voor onbepaalde tijd is aangegaan</w:t>
      </w:r>
      <w:r w:rsidR="00637026" w:rsidRPr="008E33DF">
        <w:rPr>
          <w:rFonts w:cs="Helvetica"/>
          <w:szCs w:val="20"/>
        </w:rPr>
        <w:t>,</w:t>
      </w:r>
      <w:r w:rsidR="00982D6A" w:rsidRPr="008E33DF">
        <w:rPr>
          <w:rFonts w:cs="Helvetica"/>
          <w:szCs w:val="20"/>
        </w:rPr>
        <w:t xml:space="preserve"> doet niet af aan de beslissing van de rechter</w:t>
      </w:r>
      <w:r w:rsidR="007E46D1" w:rsidRPr="008E33DF">
        <w:rPr>
          <w:rFonts w:cs="Helvetica"/>
          <w:szCs w:val="20"/>
        </w:rPr>
        <w:t>.</w:t>
      </w:r>
      <w:r w:rsidR="00637026" w:rsidRPr="008E33DF">
        <w:rPr>
          <w:rFonts w:cs="Helvetica"/>
          <w:szCs w:val="20"/>
        </w:rPr>
        <w:t xml:space="preserve"> </w:t>
      </w:r>
      <w:r w:rsidR="007E46D1" w:rsidRPr="008E33DF">
        <w:rPr>
          <w:rFonts w:cs="Helvetica"/>
          <w:szCs w:val="20"/>
        </w:rPr>
        <w:t>V</w:t>
      </w:r>
      <w:r w:rsidR="00982D6A" w:rsidRPr="008E33DF">
        <w:rPr>
          <w:rFonts w:cs="Helvetica"/>
          <w:szCs w:val="20"/>
        </w:rPr>
        <w:t>oorop staat dat partijen bij</w:t>
      </w:r>
      <w:r w:rsidR="00637026" w:rsidRPr="008E33DF">
        <w:rPr>
          <w:rFonts w:cs="Helvetica"/>
          <w:szCs w:val="20"/>
        </w:rPr>
        <w:t xml:space="preserve"> het sluiten ervan</w:t>
      </w:r>
      <w:r w:rsidR="00982D6A" w:rsidRPr="008E33DF">
        <w:rPr>
          <w:rFonts w:cs="Helvetica"/>
          <w:szCs w:val="20"/>
        </w:rPr>
        <w:t xml:space="preserve"> een huurove</w:t>
      </w:r>
      <w:r w:rsidR="00856A85" w:rsidRPr="008E33DF">
        <w:rPr>
          <w:rFonts w:cs="Helvetica"/>
          <w:szCs w:val="20"/>
        </w:rPr>
        <w:t xml:space="preserve">reenkomst voor ogen hadden van </w:t>
      </w:r>
      <w:r w:rsidR="00982D6A" w:rsidRPr="008E33DF">
        <w:rPr>
          <w:rFonts w:cs="Helvetica"/>
          <w:szCs w:val="20"/>
        </w:rPr>
        <w:t>korte duur.</w:t>
      </w:r>
      <w:r w:rsidR="007E46D1" w:rsidRPr="008E33DF">
        <w:rPr>
          <w:rStyle w:val="Voetnootmarkering"/>
          <w:rFonts w:cs="Helvetica"/>
          <w:szCs w:val="20"/>
        </w:rPr>
        <w:footnoteReference w:id="66"/>
      </w:r>
      <w:r w:rsidR="00883257" w:rsidRPr="008E33DF">
        <w:rPr>
          <w:rFonts w:cs="Helvetica"/>
          <w:szCs w:val="20"/>
        </w:rPr>
        <w:t xml:space="preserve"> </w:t>
      </w:r>
    </w:p>
    <w:p w:rsidR="007E46D1" w:rsidRPr="008E33DF" w:rsidRDefault="007E46D1" w:rsidP="00040133">
      <w:pPr>
        <w:rPr>
          <w:rFonts w:cs="Helvetica"/>
          <w:szCs w:val="20"/>
        </w:rPr>
      </w:pPr>
    </w:p>
    <w:p w:rsidR="007E46D1" w:rsidRPr="008E33DF" w:rsidRDefault="007E46D1" w:rsidP="00040133">
      <w:pPr>
        <w:rPr>
          <w:rFonts w:cs="Helvetica"/>
          <w:szCs w:val="20"/>
        </w:rPr>
      </w:pPr>
      <w:r w:rsidRPr="008E33DF">
        <w:rPr>
          <w:rFonts w:cs="Helvetica"/>
          <w:szCs w:val="20"/>
        </w:rPr>
        <w:t>Uit de</w:t>
      </w:r>
      <w:r w:rsidR="00313B86" w:rsidRPr="008E33DF">
        <w:rPr>
          <w:rFonts w:cs="Helvetica"/>
          <w:szCs w:val="20"/>
        </w:rPr>
        <w:t xml:space="preserve"> behandeling van de</w:t>
      </w:r>
      <w:r w:rsidRPr="008E33DF">
        <w:rPr>
          <w:rFonts w:cs="Helvetica"/>
          <w:szCs w:val="20"/>
        </w:rPr>
        <w:t xml:space="preserve"> afgewezen uitspraken is gebleken dat de </w:t>
      </w:r>
      <w:r w:rsidRPr="008E33DF">
        <w:rPr>
          <w:rFonts w:cs="Helvetica"/>
          <w:b/>
          <w:szCs w:val="20"/>
        </w:rPr>
        <w:t>voortzetting</w:t>
      </w:r>
      <w:r w:rsidRPr="008E33DF">
        <w:rPr>
          <w:rFonts w:cs="Helvetica"/>
          <w:szCs w:val="20"/>
        </w:rPr>
        <w:t xml:space="preserve"> van de huurovereenkomst tot gevolg kan hebben</w:t>
      </w:r>
      <w:r w:rsidR="00883257" w:rsidRPr="008E33DF">
        <w:rPr>
          <w:rFonts w:cs="Helvetica"/>
          <w:szCs w:val="20"/>
        </w:rPr>
        <w:t>,</w:t>
      </w:r>
      <w:r w:rsidRPr="008E33DF">
        <w:rPr>
          <w:rFonts w:cs="Helvetica"/>
          <w:szCs w:val="20"/>
        </w:rPr>
        <w:t xml:space="preserve"> dat de rechter op grond hiervan een beroep op art. 7:232 lid 2</w:t>
      </w:r>
      <w:r w:rsidR="00313B86" w:rsidRPr="008E33DF">
        <w:rPr>
          <w:rFonts w:cs="Helvetica"/>
          <w:szCs w:val="20"/>
        </w:rPr>
        <w:t xml:space="preserve"> BW</w:t>
      </w:r>
      <w:r w:rsidR="00883257" w:rsidRPr="008E33DF">
        <w:rPr>
          <w:rFonts w:cs="Helvetica"/>
          <w:szCs w:val="20"/>
        </w:rPr>
        <w:t xml:space="preserve"> kan afwijzen. Dit is enkel het geval</w:t>
      </w:r>
      <w:r w:rsidRPr="008E33DF">
        <w:rPr>
          <w:rFonts w:cs="Helvetica"/>
          <w:szCs w:val="20"/>
        </w:rPr>
        <w:t xml:space="preserve"> </w:t>
      </w:r>
      <w:r w:rsidR="00883257" w:rsidRPr="008E33DF">
        <w:rPr>
          <w:rFonts w:cs="Helvetica"/>
          <w:szCs w:val="20"/>
        </w:rPr>
        <w:t>wanneer</w:t>
      </w:r>
      <w:r w:rsidRPr="008E33DF">
        <w:rPr>
          <w:rFonts w:cs="Helvetica"/>
          <w:szCs w:val="20"/>
        </w:rPr>
        <w:t xml:space="preserve"> de verhuurder bij de voortzetting</w:t>
      </w:r>
      <w:r w:rsidR="00883257" w:rsidRPr="008E33DF">
        <w:rPr>
          <w:rFonts w:cs="Helvetica"/>
          <w:szCs w:val="20"/>
        </w:rPr>
        <w:t xml:space="preserve"> niet duidelijk heeft gemaakt aan</w:t>
      </w:r>
      <w:r w:rsidRPr="008E33DF">
        <w:rPr>
          <w:rFonts w:cs="Helvetica"/>
          <w:szCs w:val="20"/>
        </w:rPr>
        <w:t xml:space="preserve"> de huu</w:t>
      </w:r>
      <w:r w:rsidR="00856A85" w:rsidRPr="008E33DF">
        <w:rPr>
          <w:rFonts w:cs="Helvetica"/>
          <w:szCs w:val="20"/>
        </w:rPr>
        <w:t>rder dat de voortgezette huur het</w:t>
      </w:r>
      <w:r w:rsidRPr="008E33DF">
        <w:rPr>
          <w:rFonts w:cs="Helvetica"/>
          <w:szCs w:val="20"/>
        </w:rPr>
        <w:t xml:space="preserve">zelfde tijdelijke karakter zal hebben. Dit </w:t>
      </w:r>
      <w:r w:rsidR="00883257" w:rsidRPr="008E33DF">
        <w:rPr>
          <w:rFonts w:cs="Helvetica"/>
          <w:szCs w:val="20"/>
        </w:rPr>
        <w:t>is ook</w:t>
      </w:r>
      <w:r w:rsidRPr="008E33DF">
        <w:rPr>
          <w:rFonts w:cs="Helvetica"/>
          <w:szCs w:val="20"/>
        </w:rPr>
        <w:t xml:space="preserve"> terug </w:t>
      </w:r>
      <w:r w:rsidR="00883257" w:rsidRPr="008E33DF">
        <w:rPr>
          <w:rFonts w:cs="Helvetica"/>
          <w:szCs w:val="20"/>
        </w:rPr>
        <w:t xml:space="preserve">te zien </w:t>
      </w:r>
      <w:r w:rsidRPr="008E33DF">
        <w:rPr>
          <w:rFonts w:cs="Helvetica"/>
          <w:szCs w:val="20"/>
        </w:rPr>
        <w:t>in de toegewezen uitspraken. In de uitspraak van Rb. Arn</w:t>
      </w:r>
      <w:r w:rsidR="0037763A" w:rsidRPr="008E33DF">
        <w:rPr>
          <w:rFonts w:cs="Helvetica"/>
          <w:szCs w:val="20"/>
        </w:rPr>
        <w:t xml:space="preserve">hem van 15 september 2008 </w:t>
      </w:r>
      <w:r w:rsidR="00883257" w:rsidRPr="008E33DF">
        <w:rPr>
          <w:rFonts w:cs="Helvetica"/>
          <w:szCs w:val="20"/>
        </w:rPr>
        <w:t>hebben</w:t>
      </w:r>
      <w:r w:rsidR="0037763A" w:rsidRPr="008E33DF">
        <w:rPr>
          <w:rFonts w:cs="Helvetica"/>
          <w:szCs w:val="20"/>
        </w:rPr>
        <w:t xml:space="preserve"> </w:t>
      </w:r>
      <w:r w:rsidR="00856A85" w:rsidRPr="008E33DF">
        <w:rPr>
          <w:rFonts w:cs="Helvetica"/>
          <w:szCs w:val="20"/>
        </w:rPr>
        <w:t xml:space="preserve">de </w:t>
      </w:r>
      <w:r w:rsidR="0037763A" w:rsidRPr="008E33DF">
        <w:rPr>
          <w:rFonts w:cs="Helvetica"/>
          <w:szCs w:val="20"/>
        </w:rPr>
        <w:t xml:space="preserve">verhuurder en huurder een huurovereenkomst gesloten van korte duur. Het </w:t>
      </w:r>
      <w:r w:rsidR="00883257" w:rsidRPr="008E33DF">
        <w:rPr>
          <w:rFonts w:cs="Helvetica"/>
          <w:szCs w:val="20"/>
        </w:rPr>
        <w:t>betreft een woonruimte die</w:t>
      </w:r>
      <w:r w:rsidR="0037763A" w:rsidRPr="008E33DF">
        <w:rPr>
          <w:rFonts w:cs="Helvetica"/>
          <w:szCs w:val="20"/>
        </w:rPr>
        <w:t xml:space="preserve"> </w:t>
      </w:r>
      <w:r w:rsidR="0040551B" w:rsidRPr="008E33DF">
        <w:rPr>
          <w:rFonts w:cs="Helvetica"/>
          <w:szCs w:val="20"/>
        </w:rPr>
        <w:t>op de</w:t>
      </w:r>
      <w:r w:rsidR="0037763A" w:rsidRPr="008E33DF">
        <w:rPr>
          <w:rFonts w:cs="Helvetica"/>
          <w:szCs w:val="20"/>
        </w:rPr>
        <w:t xml:space="preserve"> nominatie staat voor sloop. De huurovereenkomst is aangegaan voor </w:t>
      </w:r>
      <w:r w:rsidR="00883257" w:rsidRPr="008E33DF">
        <w:rPr>
          <w:rFonts w:cs="Helvetica"/>
          <w:szCs w:val="20"/>
        </w:rPr>
        <w:t>drie</w:t>
      </w:r>
      <w:r w:rsidR="0037763A" w:rsidRPr="008E33DF">
        <w:rPr>
          <w:rFonts w:cs="Helvetica"/>
          <w:szCs w:val="20"/>
        </w:rPr>
        <w:t xml:space="preserve"> </w:t>
      </w:r>
      <w:r w:rsidR="0037763A" w:rsidRPr="008E33DF">
        <w:rPr>
          <w:rFonts w:cs="Helvetica"/>
          <w:szCs w:val="20"/>
        </w:rPr>
        <w:lastRenderedPageBreak/>
        <w:t xml:space="preserve">jaar en zal eerder eindigen als de sloop eerder zal plaatsvinden. De huur heeft uiteindelijk </w:t>
      </w:r>
      <w:r w:rsidR="00883257" w:rsidRPr="008E33DF">
        <w:rPr>
          <w:rFonts w:cs="Helvetica"/>
          <w:szCs w:val="20"/>
        </w:rPr>
        <w:t>vier</w:t>
      </w:r>
      <w:r w:rsidR="0037763A" w:rsidRPr="008E33DF">
        <w:rPr>
          <w:rFonts w:cs="Helvetica"/>
          <w:szCs w:val="20"/>
        </w:rPr>
        <w:t xml:space="preserve"> jaar ge</w:t>
      </w:r>
      <w:r w:rsidR="00856A85" w:rsidRPr="008E33DF">
        <w:rPr>
          <w:rFonts w:cs="Helvetica"/>
          <w:szCs w:val="20"/>
        </w:rPr>
        <w:t>d</w:t>
      </w:r>
      <w:r w:rsidR="0037763A" w:rsidRPr="008E33DF">
        <w:rPr>
          <w:rFonts w:cs="Helvetica"/>
          <w:szCs w:val="20"/>
        </w:rPr>
        <w:t xml:space="preserve">uurd. De rechter oordeelt in dit geval </w:t>
      </w:r>
      <w:r w:rsidR="00856A85" w:rsidRPr="008E33DF">
        <w:rPr>
          <w:rFonts w:cs="Helvetica"/>
          <w:szCs w:val="20"/>
        </w:rPr>
        <w:t xml:space="preserve">dat </w:t>
      </w:r>
      <w:r w:rsidR="0037763A" w:rsidRPr="008E33DF">
        <w:rPr>
          <w:rFonts w:cs="Helvetica"/>
          <w:szCs w:val="20"/>
        </w:rPr>
        <w:t>de huurovereenkomst is voortgezet met inbegrip van alle bepalingen uit d</w:t>
      </w:r>
      <w:r w:rsidR="00856A85" w:rsidRPr="008E33DF">
        <w:rPr>
          <w:rFonts w:cs="Helvetica"/>
          <w:szCs w:val="20"/>
        </w:rPr>
        <w:t>e oorspronkelijke overeenkomst</w:t>
      </w:r>
      <w:r w:rsidR="00883257" w:rsidRPr="008E33DF">
        <w:rPr>
          <w:rFonts w:cs="Helvetica"/>
          <w:szCs w:val="20"/>
        </w:rPr>
        <w:t>,</w:t>
      </w:r>
      <w:r w:rsidR="00856A85" w:rsidRPr="008E33DF">
        <w:rPr>
          <w:rFonts w:cs="Helvetica"/>
          <w:szCs w:val="20"/>
        </w:rPr>
        <w:t xml:space="preserve"> </w:t>
      </w:r>
      <w:r w:rsidR="0037763A" w:rsidRPr="008E33DF">
        <w:rPr>
          <w:rFonts w:cs="Helvetica"/>
          <w:szCs w:val="20"/>
        </w:rPr>
        <w:t>zodat de verlenging niet af doet aan de beoordeling van de rechter.</w:t>
      </w:r>
      <w:r w:rsidR="0037763A" w:rsidRPr="008E33DF">
        <w:rPr>
          <w:rStyle w:val="Voetnootmarkering"/>
          <w:rFonts w:cs="Helvetica"/>
          <w:szCs w:val="20"/>
        </w:rPr>
        <w:footnoteReference w:id="67"/>
      </w:r>
    </w:p>
    <w:p w:rsidR="0037763A" w:rsidRPr="008E33DF" w:rsidRDefault="0037763A" w:rsidP="00040133">
      <w:pPr>
        <w:rPr>
          <w:rFonts w:cs="Helvetica"/>
          <w:szCs w:val="20"/>
        </w:rPr>
      </w:pPr>
    </w:p>
    <w:p w:rsidR="00FE0164" w:rsidRPr="008E33DF" w:rsidRDefault="00BA7983" w:rsidP="005E7558">
      <w:pPr>
        <w:pStyle w:val="Kop3"/>
      </w:pPr>
      <w:bookmarkStart w:id="55" w:name="_Toc454253683"/>
      <w:r>
        <w:t>5.5</w:t>
      </w:r>
      <w:r w:rsidR="005E7558" w:rsidRPr="008E33DF">
        <w:t>.3 Conclusie</w:t>
      </w:r>
      <w:r w:rsidR="00AA189B" w:rsidRPr="008E33DF">
        <w:t>:</w:t>
      </w:r>
      <w:r w:rsidR="005E7558" w:rsidRPr="008E33DF">
        <w:t xml:space="preserve"> duur van het gebruik</w:t>
      </w:r>
      <w:bookmarkEnd w:id="55"/>
    </w:p>
    <w:p w:rsidR="00307C02" w:rsidRPr="008E33DF" w:rsidRDefault="00FE0164" w:rsidP="00040133">
      <w:pPr>
        <w:rPr>
          <w:rFonts w:cs="Helvetica"/>
          <w:szCs w:val="20"/>
        </w:rPr>
      </w:pPr>
      <w:r w:rsidRPr="008E33DF">
        <w:rPr>
          <w:rFonts w:cs="Helvetica"/>
          <w:szCs w:val="20"/>
        </w:rPr>
        <w:t xml:space="preserve">In deze paragraaf is </w:t>
      </w:r>
      <w:r w:rsidR="00AA189B" w:rsidRPr="008E33DF">
        <w:rPr>
          <w:rFonts w:cs="Helvetica"/>
          <w:szCs w:val="20"/>
        </w:rPr>
        <w:t xml:space="preserve">de </w:t>
      </w:r>
      <w:r w:rsidR="00313B86" w:rsidRPr="008E33DF">
        <w:rPr>
          <w:rFonts w:cs="Helvetica"/>
          <w:szCs w:val="20"/>
        </w:rPr>
        <w:t>duur van het gebruik behandeld</w:t>
      </w:r>
      <w:r w:rsidR="00856A85" w:rsidRPr="008E33DF">
        <w:rPr>
          <w:rFonts w:cs="Helvetica"/>
          <w:szCs w:val="20"/>
        </w:rPr>
        <w:t>.</w:t>
      </w:r>
      <w:r w:rsidR="005E271D" w:rsidRPr="008E33DF">
        <w:rPr>
          <w:rFonts w:cs="Helvetica"/>
          <w:szCs w:val="20"/>
        </w:rPr>
        <w:t xml:space="preserve"> Bij de toetsing op deze beoordelingsfactor is de verlenging van de huurovereenkomst een zeer belangrijke criterium. </w:t>
      </w:r>
      <w:r w:rsidR="000E5B3B" w:rsidRPr="008E33DF">
        <w:rPr>
          <w:rFonts w:cs="Helvetica"/>
          <w:szCs w:val="20"/>
        </w:rPr>
        <w:t>De verlenging zorgt</w:t>
      </w:r>
      <w:r w:rsidR="00AA189B" w:rsidRPr="008E33DF">
        <w:rPr>
          <w:rFonts w:cs="Helvetica"/>
          <w:szCs w:val="20"/>
        </w:rPr>
        <w:t xml:space="preserve"> </w:t>
      </w:r>
      <w:r w:rsidR="000E5B3B" w:rsidRPr="008E33DF">
        <w:rPr>
          <w:rFonts w:cs="Helvetica"/>
          <w:szCs w:val="20"/>
        </w:rPr>
        <w:t xml:space="preserve">dat de huurovereenkomst zijn tijdelijke karakter verliest. </w:t>
      </w:r>
      <w:r w:rsidR="00307C02" w:rsidRPr="008E33DF">
        <w:rPr>
          <w:rFonts w:cs="Helvetica"/>
          <w:szCs w:val="20"/>
        </w:rPr>
        <w:t xml:space="preserve">Vooral een stilzwijgende verlenging kan leiden tot </w:t>
      </w:r>
      <w:r w:rsidR="000E5B3B" w:rsidRPr="008E33DF">
        <w:rPr>
          <w:rFonts w:cs="Helvetica"/>
          <w:szCs w:val="20"/>
        </w:rPr>
        <w:t xml:space="preserve">het </w:t>
      </w:r>
      <w:r w:rsidR="00307C02" w:rsidRPr="008E33DF">
        <w:rPr>
          <w:rFonts w:cs="Helvetica"/>
          <w:szCs w:val="20"/>
        </w:rPr>
        <w:t>afwijz</w:t>
      </w:r>
      <w:r w:rsidR="000E5B3B" w:rsidRPr="008E33DF">
        <w:rPr>
          <w:rFonts w:cs="Helvetica"/>
          <w:szCs w:val="20"/>
        </w:rPr>
        <w:t>en</w:t>
      </w:r>
      <w:r w:rsidR="00307C02" w:rsidRPr="008E33DF">
        <w:rPr>
          <w:rFonts w:cs="Helvetica"/>
          <w:szCs w:val="20"/>
        </w:rPr>
        <w:t xml:space="preserve"> van </w:t>
      </w:r>
      <w:r w:rsidR="000E5B3B" w:rsidRPr="008E33DF">
        <w:rPr>
          <w:rFonts w:cs="Helvetica"/>
          <w:szCs w:val="20"/>
        </w:rPr>
        <w:t>een beroep</w:t>
      </w:r>
      <w:r w:rsidR="00883257" w:rsidRPr="008E33DF">
        <w:rPr>
          <w:rFonts w:cs="Helvetica"/>
          <w:szCs w:val="20"/>
        </w:rPr>
        <w:t xml:space="preserve"> op art. 7:232 lid 2 BW, omdat hierdoor</w:t>
      </w:r>
      <w:r w:rsidR="00307C02" w:rsidRPr="008E33DF">
        <w:rPr>
          <w:rFonts w:cs="Helvetica"/>
          <w:szCs w:val="20"/>
        </w:rPr>
        <w:t xml:space="preserve"> de huurovereenkomst voor onbepaalde tijd wordt verlengd. Wanneer de verlenging wel door partijen </w:t>
      </w:r>
      <w:r w:rsidR="00883257" w:rsidRPr="008E33DF">
        <w:rPr>
          <w:rFonts w:cs="Helvetica"/>
          <w:szCs w:val="20"/>
        </w:rPr>
        <w:t>is</w:t>
      </w:r>
      <w:r w:rsidR="00307C02" w:rsidRPr="008E33DF">
        <w:rPr>
          <w:rFonts w:cs="Helvetica"/>
          <w:szCs w:val="20"/>
        </w:rPr>
        <w:t xml:space="preserve"> besproken</w:t>
      </w:r>
      <w:r w:rsidR="00883257" w:rsidRPr="008E33DF">
        <w:rPr>
          <w:rFonts w:cs="Helvetica"/>
          <w:szCs w:val="20"/>
        </w:rPr>
        <w:t>,</w:t>
      </w:r>
      <w:r w:rsidR="00307C02" w:rsidRPr="008E33DF">
        <w:rPr>
          <w:rFonts w:cs="Helvetica"/>
          <w:szCs w:val="20"/>
        </w:rPr>
        <w:t xml:space="preserve"> en hierbij duidelijk is gemaakt aan de huurder dat de </w:t>
      </w:r>
      <w:r w:rsidR="00883257" w:rsidRPr="008E33DF">
        <w:rPr>
          <w:rFonts w:cs="Helvetica"/>
          <w:szCs w:val="20"/>
        </w:rPr>
        <w:t>o</w:t>
      </w:r>
      <w:r w:rsidR="00307C02" w:rsidRPr="008E33DF">
        <w:rPr>
          <w:rFonts w:cs="Helvetica"/>
          <w:szCs w:val="20"/>
        </w:rPr>
        <w:t>vereenkomst wordt verlengd met dezelfde tijdelijke aard en met inbegrip van alle bepaling</w:t>
      </w:r>
      <w:r w:rsidR="00883257" w:rsidRPr="008E33DF">
        <w:rPr>
          <w:rFonts w:cs="Helvetica"/>
          <w:szCs w:val="20"/>
        </w:rPr>
        <w:t>en</w:t>
      </w:r>
      <w:r w:rsidR="00307C02" w:rsidRPr="008E33DF">
        <w:rPr>
          <w:rFonts w:cs="Helvetica"/>
          <w:szCs w:val="20"/>
        </w:rPr>
        <w:t xml:space="preserve"> uit de oorspronkelijke huurovereenkomst</w:t>
      </w:r>
      <w:r w:rsidR="00883257" w:rsidRPr="008E33DF">
        <w:rPr>
          <w:rFonts w:cs="Helvetica"/>
          <w:szCs w:val="20"/>
        </w:rPr>
        <w:t>,</w:t>
      </w:r>
      <w:r w:rsidR="00307C02" w:rsidRPr="008E33DF">
        <w:rPr>
          <w:rFonts w:cs="Helvetica"/>
          <w:szCs w:val="20"/>
        </w:rPr>
        <w:t xml:space="preserve"> kan de rechter het beroep alsnog toewijzen, ondanks</w:t>
      </w:r>
      <w:r w:rsidR="0040551B" w:rsidRPr="008E33DF">
        <w:rPr>
          <w:rFonts w:cs="Helvetica"/>
          <w:szCs w:val="20"/>
        </w:rPr>
        <w:t xml:space="preserve"> dat</w:t>
      </w:r>
      <w:r w:rsidR="00307C02" w:rsidRPr="008E33DF">
        <w:rPr>
          <w:rFonts w:cs="Helvetica"/>
          <w:szCs w:val="20"/>
        </w:rPr>
        <w:t xml:space="preserve"> de</w:t>
      </w:r>
      <w:r w:rsidR="00883257" w:rsidRPr="008E33DF">
        <w:rPr>
          <w:rFonts w:cs="Helvetica"/>
          <w:szCs w:val="20"/>
        </w:rPr>
        <w:t xml:space="preserve"> overeenkomst</w:t>
      </w:r>
      <w:r w:rsidR="00307C02" w:rsidRPr="008E33DF">
        <w:rPr>
          <w:rFonts w:cs="Helvetica"/>
          <w:szCs w:val="20"/>
        </w:rPr>
        <w:t xml:space="preserve"> is verlengd. </w:t>
      </w:r>
    </w:p>
    <w:p w:rsidR="00307C02" w:rsidRPr="008E33DF" w:rsidRDefault="00307C02" w:rsidP="00040133">
      <w:pPr>
        <w:rPr>
          <w:rFonts w:cs="Helvetica"/>
          <w:szCs w:val="20"/>
        </w:rPr>
      </w:pPr>
    </w:p>
    <w:p w:rsidR="00FE0164" w:rsidRPr="008E33DF" w:rsidRDefault="00B30BBF" w:rsidP="00040133">
      <w:pPr>
        <w:rPr>
          <w:rFonts w:cs="Helvetica"/>
          <w:szCs w:val="20"/>
        </w:rPr>
      </w:pPr>
      <w:r w:rsidRPr="008E33DF">
        <w:rPr>
          <w:rFonts w:cs="Helvetica"/>
          <w:szCs w:val="20"/>
        </w:rPr>
        <w:t>Dat de verlenging een zeer belangrijke criterium is voor de rechter bij de toetsing op de duur van het gebruik blijkt vooral op het feit dat de</w:t>
      </w:r>
      <w:r w:rsidR="00753484" w:rsidRPr="008E33DF">
        <w:rPr>
          <w:rFonts w:cs="Helvetica"/>
          <w:szCs w:val="20"/>
        </w:rPr>
        <w:t xml:space="preserve"> huur van de</w:t>
      </w:r>
      <w:r w:rsidRPr="008E33DF">
        <w:rPr>
          <w:rFonts w:cs="Helvetica"/>
          <w:szCs w:val="20"/>
        </w:rPr>
        <w:t xml:space="preserve"> </w:t>
      </w:r>
      <w:r w:rsidR="007C5F68" w:rsidRPr="008E33DF">
        <w:rPr>
          <w:rFonts w:cs="Helvetica"/>
          <w:szCs w:val="20"/>
        </w:rPr>
        <w:t xml:space="preserve">recreatiewoning </w:t>
      </w:r>
      <w:r w:rsidR="006C1EA6" w:rsidRPr="008E33DF">
        <w:rPr>
          <w:rFonts w:cs="Helvetica"/>
          <w:szCs w:val="20"/>
        </w:rPr>
        <w:t>door stilzwijgende</w:t>
      </w:r>
      <w:r w:rsidR="007C5F68" w:rsidRPr="008E33DF">
        <w:rPr>
          <w:rFonts w:cs="Helvetica"/>
          <w:szCs w:val="20"/>
        </w:rPr>
        <w:t xml:space="preserve"> verlenging aangemerkt wordt als reguliere huur. </w:t>
      </w:r>
      <w:r w:rsidR="00753484" w:rsidRPr="008E33DF">
        <w:rPr>
          <w:rFonts w:cs="Helvetica"/>
          <w:szCs w:val="20"/>
        </w:rPr>
        <w:t>In de parlementaire geschiedenis wordt d</w:t>
      </w:r>
      <w:r w:rsidR="007C5F68" w:rsidRPr="008E33DF">
        <w:rPr>
          <w:rFonts w:cs="Helvetica"/>
          <w:szCs w:val="20"/>
        </w:rPr>
        <w:t xml:space="preserve">e recreatiewoning nota bene als voorbeeld gegeven </w:t>
      </w:r>
      <w:r w:rsidR="00753484" w:rsidRPr="008E33DF">
        <w:rPr>
          <w:rFonts w:cs="Helvetica"/>
          <w:szCs w:val="20"/>
        </w:rPr>
        <w:t>van een woning die</w:t>
      </w:r>
      <w:r w:rsidR="007C5F68" w:rsidRPr="008E33DF">
        <w:rPr>
          <w:rFonts w:cs="Helvetica"/>
          <w:szCs w:val="20"/>
        </w:rPr>
        <w:t xml:space="preserve"> duidelijk onder de uitzonderingsbepaling valt. </w:t>
      </w:r>
    </w:p>
    <w:p w:rsidR="00594E14" w:rsidRPr="008E33DF" w:rsidRDefault="00594E14" w:rsidP="00040133">
      <w:pPr>
        <w:rPr>
          <w:rFonts w:cs="Helvetica"/>
          <w:szCs w:val="20"/>
        </w:rPr>
      </w:pPr>
    </w:p>
    <w:p w:rsidR="00594E14" w:rsidRPr="008E33DF" w:rsidRDefault="00B30BBF" w:rsidP="00040133">
      <w:pPr>
        <w:rPr>
          <w:rFonts w:cs="Helvetica"/>
          <w:szCs w:val="20"/>
        </w:rPr>
      </w:pPr>
      <w:r w:rsidRPr="008E33DF">
        <w:rPr>
          <w:rFonts w:cs="Helvetica"/>
          <w:szCs w:val="20"/>
        </w:rPr>
        <w:t>Voorts is</w:t>
      </w:r>
      <w:r w:rsidR="00753484" w:rsidRPr="008E33DF">
        <w:rPr>
          <w:rFonts w:cs="Helvetica"/>
          <w:szCs w:val="20"/>
        </w:rPr>
        <w:t xml:space="preserve"> voor de rechter</w:t>
      </w:r>
      <w:r w:rsidRPr="008E33DF">
        <w:rPr>
          <w:rFonts w:cs="Helvetica"/>
          <w:szCs w:val="20"/>
        </w:rPr>
        <w:t xml:space="preserve"> bij de toetsing op deze beoordelingsfactor van belang</w:t>
      </w:r>
      <w:r w:rsidR="00753484" w:rsidRPr="008E33DF">
        <w:rPr>
          <w:rFonts w:cs="Helvetica"/>
          <w:szCs w:val="20"/>
        </w:rPr>
        <w:t>,</w:t>
      </w:r>
      <w:r w:rsidRPr="008E33DF">
        <w:rPr>
          <w:rFonts w:cs="Helvetica"/>
          <w:szCs w:val="20"/>
        </w:rPr>
        <w:t xml:space="preserve"> dat </w:t>
      </w:r>
      <w:r w:rsidR="00594E14" w:rsidRPr="008E33DF">
        <w:rPr>
          <w:rFonts w:cs="Helvetica"/>
          <w:szCs w:val="20"/>
        </w:rPr>
        <w:t xml:space="preserve">de verhuurder duidelijkheid moet creëren over de periode en einddatum van de huurovereenkomst. Indien deze duidelijkheid er niet is, kan dit voor afwijzing van het beroep leiden. </w:t>
      </w:r>
      <w:r w:rsidR="002E2F57" w:rsidRPr="008E33DF">
        <w:rPr>
          <w:rFonts w:cs="Helvetica"/>
          <w:szCs w:val="20"/>
        </w:rPr>
        <w:t>Dit betekent echter niet dat h</w:t>
      </w:r>
      <w:r w:rsidR="00594E14" w:rsidRPr="008E33DF">
        <w:rPr>
          <w:rFonts w:cs="Helvetica"/>
          <w:szCs w:val="20"/>
        </w:rPr>
        <w:t>et en</w:t>
      </w:r>
      <w:r w:rsidR="002E2F57" w:rsidRPr="008E33DF">
        <w:rPr>
          <w:rFonts w:cs="Helvetica"/>
          <w:szCs w:val="20"/>
        </w:rPr>
        <w:t>kel bedingen van een periode voldoende is om het beroep te laten slagen.</w:t>
      </w:r>
    </w:p>
    <w:p w:rsidR="002E2F57" w:rsidRPr="008E33DF" w:rsidRDefault="002E2F57" w:rsidP="00040133">
      <w:pPr>
        <w:rPr>
          <w:rFonts w:cs="Helvetica"/>
          <w:szCs w:val="20"/>
        </w:rPr>
      </w:pPr>
    </w:p>
    <w:p w:rsidR="009E2817" w:rsidRPr="008E33DF" w:rsidRDefault="00B30BBF" w:rsidP="009E2817">
      <w:pPr>
        <w:rPr>
          <w:rFonts w:cs="Helvetica"/>
          <w:szCs w:val="20"/>
        </w:rPr>
      </w:pPr>
      <w:r w:rsidRPr="008E33DF">
        <w:rPr>
          <w:rFonts w:cs="Helvetica"/>
          <w:szCs w:val="20"/>
        </w:rPr>
        <w:t xml:space="preserve">Ten slotte blijkt dat bij de toetsing op de duur van het gebruik de werkelijke duur van de huurovereenkomst niet van groot belang is voor de rechter. Wanneer op grond van de toetsing op de beoordelingsfactoren, anders dan de duur van het gebruik, </w:t>
      </w:r>
      <w:r w:rsidR="009E2817" w:rsidRPr="008E33DF">
        <w:rPr>
          <w:rFonts w:cs="Helvetica"/>
          <w:szCs w:val="20"/>
        </w:rPr>
        <w:t>aanleiding bestaat dat de huurovereenkomst te kwalificeren is als naar zijn aard van korte duur</w:t>
      </w:r>
      <w:r w:rsidR="00753484" w:rsidRPr="008E33DF">
        <w:rPr>
          <w:rFonts w:cs="Helvetica"/>
          <w:szCs w:val="20"/>
        </w:rPr>
        <w:t xml:space="preserve">, </w:t>
      </w:r>
      <w:r w:rsidR="009E2817" w:rsidRPr="008E33DF">
        <w:rPr>
          <w:rFonts w:cs="Helvetica"/>
          <w:szCs w:val="20"/>
        </w:rPr>
        <w:t xml:space="preserve">doet de werkelijke duur niet af aan de beoordeling van de rechter. </w:t>
      </w:r>
    </w:p>
    <w:p w:rsidR="00753484" w:rsidRPr="008E33DF" w:rsidRDefault="00753484" w:rsidP="009E2817">
      <w:pPr>
        <w:rPr>
          <w:rFonts w:cs="Helvetica"/>
          <w:szCs w:val="20"/>
        </w:rPr>
      </w:pPr>
    </w:p>
    <w:p w:rsidR="00753484" w:rsidRPr="008E33DF" w:rsidRDefault="00753484" w:rsidP="009E2817">
      <w:pPr>
        <w:rPr>
          <w:rFonts w:cs="Helvetica"/>
          <w:szCs w:val="20"/>
        </w:rPr>
      </w:pPr>
    </w:p>
    <w:p w:rsidR="009E2817" w:rsidRPr="008E33DF" w:rsidRDefault="009E2817" w:rsidP="009E2817">
      <w:pPr>
        <w:rPr>
          <w:rFonts w:cs="Helvetica"/>
          <w:szCs w:val="20"/>
        </w:rPr>
      </w:pPr>
    </w:p>
    <w:p w:rsidR="009E2817" w:rsidRDefault="009E2817" w:rsidP="009E2817">
      <w:pPr>
        <w:rPr>
          <w:rFonts w:cs="Helvetica"/>
          <w:szCs w:val="20"/>
        </w:rPr>
      </w:pPr>
    </w:p>
    <w:p w:rsidR="00893161" w:rsidRDefault="00893161" w:rsidP="009E2817">
      <w:pPr>
        <w:rPr>
          <w:rFonts w:cs="Helvetica"/>
          <w:szCs w:val="20"/>
        </w:rPr>
      </w:pPr>
    </w:p>
    <w:p w:rsidR="00893161" w:rsidRPr="008E33DF" w:rsidRDefault="00893161" w:rsidP="009E2817">
      <w:pPr>
        <w:rPr>
          <w:rFonts w:cs="Helvetica"/>
          <w:szCs w:val="20"/>
        </w:rPr>
      </w:pPr>
    </w:p>
    <w:p w:rsidR="009E2817" w:rsidRPr="008E33DF" w:rsidRDefault="009E2817" w:rsidP="009E2817">
      <w:pPr>
        <w:rPr>
          <w:rFonts w:cs="Helvetica"/>
          <w:szCs w:val="20"/>
        </w:rPr>
      </w:pPr>
    </w:p>
    <w:p w:rsidR="00A54503" w:rsidRPr="001E614E" w:rsidRDefault="00A54503" w:rsidP="001E614E">
      <w:pPr>
        <w:pStyle w:val="Kop1"/>
        <w:rPr>
          <w:szCs w:val="20"/>
        </w:rPr>
      </w:pPr>
      <w:bookmarkStart w:id="56" w:name="_Toc454253684"/>
      <w:r w:rsidRPr="001E614E">
        <w:lastRenderedPageBreak/>
        <w:t>6</w:t>
      </w:r>
      <w:r w:rsidR="001E614E" w:rsidRPr="001E614E">
        <w:t>.</w:t>
      </w:r>
      <w:r w:rsidRPr="001E614E">
        <w:t xml:space="preserve"> Conclusie</w:t>
      </w:r>
      <w:bookmarkEnd w:id="56"/>
    </w:p>
    <w:p w:rsidR="00A54503" w:rsidRPr="008E33DF" w:rsidRDefault="00A54503" w:rsidP="00A54503">
      <w:pPr>
        <w:rPr>
          <w:rFonts w:cs="Helvetica"/>
          <w:szCs w:val="20"/>
        </w:rPr>
      </w:pPr>
      <w:r w:rsidRPr="008E33DF">
        <w:rPr>
          <w:rFonts w:cs="Helvetica"/>
          <w:szCs w:val="20"/>
        </w:rPr>
        <w:t>In deze scriptie is aan de hand van</w:t>
      </w:r>
      <w:r w:rsidR="00753484" w:rsidRPr="008E33DF">
        <w:rPr>
          <w:rFonts w:cs="Helvetica"/>
          <w:szCs w:val="20"/>
        </w:rPr>
        <w:t xml:space="preserve"> </w:t>
      </w:r>
      <w:r w:rsidRPr="008E33DF">
        <w:rPr>
          <w:rFonts w:cs="Helvetica"/>
          <w:szCs w:val="20"/>
        </w:rPr>
        <w:t>literatuur</w:t>
      </w:r>
      <w:r w:rsidR="006B7DC9" w:rsidRPr="008E33DF">
        <w:rPr>
          <w:rFonts w:cs="Helvetica"/>
          <w:szCs w:val="20"/>
        </w:rPr>
        <w:t>-</w:t>
      </w:r>
      <w:r w:rsidRPr="008E33DF">
        <w:rPr>
          <w:rFonts w:cs="Helvetica"/>
          <w:szCs w:val="20"/>
        </w:rPr>
        <w:t xml:space="preserve"> en</w:t>
      </w:r>
      <w:r w:rsidR="00B34F6C" w:rsidRPr="008E33DF">
        <w:rPr>
          <w:rFonts w:cs="Helvetica"/>
          <w:szCs w:val="20"/>
        </w:rPr>
        <w:t xml:space="preserve"> jurisprudentieonderzoek</w:t>
      </w:r>
      <w:r w:rsidRPr="008E33DF">
        <w:rPr>
          <w:rFonts w:cs="Helvetica"/>
          <w:szCs w:val="20"/>
        </w:rPr>
        <w:t xml:space="preserve"> een antwoord gezocht op de</w:t>
      </w:r>
      <w:r w:rsidR="00A97D07" w:rsidRPr="008E33DF">
        <w:rPr>
          <w:rFonts w:cs="Helvetica"/>
          <w:szCs w:val="20"/>
        </w:rPr>
        <w:t xml:space="preserve"> volgende</w:t>
      </w:r>
      <w:r w:rsidR="00753484" w:rsidRPr="008E33DF">
        <w:rPr>
          <w:rFonts w:cs="Helvetica"/>
          <w:szCs w:val="20"/>
        </w:rPr>
        <w:t xml:space="preserve"> </w:t>
      </w:r>
      <w:r w:rsidR="00B34F6C" w:rsidRPr="008E33DF">
        <w:rPr>
          <w:rFonts w:cs="Helvetica"/>
          <w:szCs w:val="20"/>
        </w:rPr>
        <w:t>hoofd</w:t>
      </w:r>
      <w:r w:rsidRPr="008E33DF">
        <w:rPr>
          <w:rFonts w:cs="Helvetica"/>
          <w:szCs w:val="20"/>
        </w:rPr>
        <w:t>vraag</w:t>
      </w:r>
      <w:r w:rsidR="00B34F6C" w:rsidRPr="008E33DF">
        <w:rPr>
          <w:rFonts w:cs="Helvetica"/>
          <w:szCs w:val="20"/>
        </w:rPr>
        <w:t>:"</w:t>
      </w:r>
      <w:r w:rsidR="009E2817" w:rsidRPr="008E33DF">
        <w:rPr>
          <w:rFonts w:cs="Helvetica"/>
          <w:i/>
        </w:rPr>
        <w:t>Welke feiten en omstandigheden zijn doorslaggevend voor de rechter, volgens jurisprudentie, bij het toetsten op relevante factoren om een beroep op art. 7:232 lid 2 BW toe of af te wijzen, waar Onze Advocaat rekening mee moet houden bij het adviseren van hun cliënten</w:t>
      </w:r>
      <w:r w:rsidRPr="008E33DF">
        <w:rPr>
          <w:rFonts w:cs="Helvetica"/>
          <w:i/>
          <w:szCs w:val="20"/>
        </w:rPr>
        <w:t>?</w:t>
      </w:r>
      <w:r w:rsidR="00B34F6C" w:rsidRPr="008E33DF">
        <w:rPr>
          <w:rFonts w:cs="Helvetica"/>
          <w:i/>
          <w:szCs w:val="20"/>
        </w:rPr>
        <w:t>"</w:t>
      </w:r>
    </w:p>
    <w:p w:rsidR="00A54503" w:rsidRPr="008E33DF" w:rsidRDefault="00A54503" w:rsidP="00A54503">
      <w:pPr>
        <w:rPr>
          <w:rFonts w:cs="Helvetica"/>
          <w:b/>
          <w:szCs w:val="20"/>
        </w:rPr>
      </w:pPr>
    </w:p>
    <w:p w:rsidR="009E2817" w:rsidRPr="008E33DF" w:rsidRDefault="00B34F6C" w:rsidP="00A54503">
      <w:pPr>
        <w:rPr>
          <w:rFonts w:cs="Helvetica"/>
          <w:szCs w:val="20"/>
        </w:rPr>
      </w:pPr>
      <w:r w:rsidRPr="008E33DF">
        <w:rPr>
          <w:rFonts w:cs="Helvetica"/>
          <w:szCs w:val="20"/>
        </w:rPr>
        <w:t>Uit het</w:t>
      </w:r>
      <w:r w:rsidR="00A54503" w:rsidRPr="008E33DF">
        <w:rPr>
          <w:rFonts w:cs="Helvetica"/>
          <w:szCs w:val="20"/>
        </w:rPr>
        <w:t xml:space="preserve"> literatuuronderzoek is gebleken </w:t>
      </w:r>
      <w:r w:rsidR="009E2817" w:rsidRPr="008E33DF">
        <w:rPr>
          <w:rFonts w:cs="Helvetica"/>
          <w:szCs w:val="20"/>
        </w:rPr>
        <w:t>dat bij het toewijzen van een</w:t>
      </w:r>
      <w:r w:rsidR="00DD7E72" w:rsidRPr="008E33DF">
        <w:rPr>
          <w:rFonts w:cs="Helvetica"/>
          <w:szCs w:val="20"/>
        </w:rPr>
        <w:t xml:space="preserve"> beroep op de uitzonderingsbepaling de rechter terughoudend dient te zijn volgens de wetgever. Volgens de Hoge Raad van 30 mei 1975 dient bij de beoordeling van een beroep op art. 7:232 lid 2 BW een toetsing gedaan worden op de aard van het gehuurde, aard van het gebruik, bedoelingen van partijen en de duur van het gebruik. </w:t>
      </w:r>
    </w:p>
    <w:p w:rsidR="009E2817" w:rsidRPr="008E33DF" w:rsidRDefault="009E2817" w:rsidP="00A54503">
      <w:pPr>
        <w:rPr>
          <w:rFonts w:cs="Helvetica"/>
          <w:szCs w:val="20"/>
        </w:rPr>
      </w:pPr>
    </w:p>
    <w:p w:rsidR="00D14B48" w:rsidRPr="008E33DF" w:rsidRDefault="00A54503" w:rsidP="00D14B48">
      <w:pPr>
        <w:rPr>
          <w:rFonts w:cs="Helvetica"/>
        </w:rPr>
      </w:pPr>
      <w:r w:rsidRPr="008E33DF">
        <w:rPr>
          <w:rFonts w:cs="Helvetica"/>
          <w:szCs w:val="20"/>
        </w:rPr>
        <w:t>Aan de hand van</w:t>
      </w:r>
      <w:r w:rsidR="00B34F6C" w:rsidRPr="008E33DF">
        <w:rPr>
          <w:rFonts w:cs="Helvetica"/>
          <w:szCs w:val="20"/>
        </w:rPr>
        <w:t xml:space="preserve"> jurisprudentieo</w:t>
      </w:r>
      <w:r w:rsidRPr="008E33DF">
        <w:rPr>
          <w:rFonts w:cs="Helvetica"/>
          <w:szCs w:val="20"/>
        </w:rPr>
        <w:t xml:space="preserve">nderzoek is onderzocht hoe in de praktijk de eerstelijns rechter toetst op de </w:t>
      </w:r>
      <w:r w:rsidR="00753484" w:rsidRPr="008E33DF">
        <w:rPr>
          <w:rFonts w:cs="Helvetica"/>
          <w:szCs w:val="20"/>
        </w:rPr>
        <w:t xml:space="preserve">bovenstaande </w:t>
      </w:r>
      <w:r w:rsidRPr="008E33DF">
        <w:rPr>
          <w:rFonts w:cs="Helvetica"/>
          <w:szCs w:val="20"/>
        </w:rPr>
        <w:t xml:space="preserve">beoordelingsfactoren. </w:t>
      </w:r>
      <w:r w:rsidR="00DE78C1" w:rsidRPr="008E33DF">
        <w:rPr>
          <w:rFonts w:cs="Helvetica"/>
          <w:szCs w:val="20"/>
        </w:rPr>
        <w:t>Hierbij is gebleken dat de rechter, bij een beroep op art. 7:232 lid 2 BW, altijd tot een oordeel komt door te toetsen aan deze beoordelingsfactoren.</w:t>
      </w:r>
      <w:r w:rsidRPr="008E33DF">
        <w:rPr>
          <w:rFonts w:cs="Helvetica"/>
          <w:szCs w:val="20"/>
        </w:rPr>
        <w:t xml:space="preserve"> Niet altijd wordt op alle vier</w:t>
      </w:r>
      <w:r w:rsidR="00DE78C1" w:rsidRPr="008E33DF">
        <w:rPr>
          <w:rFonts w:cs="Helvetica"/>
          <w:szCs w:val="20"/>
        </w:rPr>
        <w:t xml:space="preserve"> de</w:t>
      </w:r>
      <w:r w:rsidRPr="008E33DF">
        <w:rPr>
          <w:rFonts w:cs="Helvetica"/>
          <w:szCs w:val="20"/>
        </w:rPr>
        <w:t xml:space="preserve"> factoren getoetst in een uitspraak. In de uitspraken waarbij het beroep op de uitzonderingsgrond wordt afgewezen</w:t>
      </w:r>
      <w:r w:rsidR="00FD5C22" w:rsidRPr="008E33DF">
        <w:rPr>
          <w:rFonts w:cs="Helvetica"/>
          <w:szCs w:val="20"/>
        </w:rPr>
        <w:t>,</w:t>
      </w:r>
      <w:r w:rsidRPr="008E33DF">
        <w:rPr>
          <w:rFonts w:cs="Helvetica"/>
          <w:szCs w:val="20"/>
        </w:rPr>
        <w:t xml:space="preserve"> wordt in mindere mate getoetst op </w:t>
      </w:r>
      <w:r w:rsidR="00DE78C1" w:rsidRPr="008E33DF">
        <w:rPr>
          <w:rFonts w:cs="Helvetica"/>
          <w:szCs w:val="20"/>
        </w:rPr>
        <w:t>de</w:t>
      </w:r>
      <w:r w:rsidRPr="008E33DF">
        <w:rPr>
          <w:rFonts w:cs="Helvetica"/>
          <w:szCs w:val="20"/>
        </w:rPr>
        <w:t xml:space="preserve"> factoren ten opzichte van de uitspraken waarbij het beroep wel wordt toegewezen. </w:t>
      </w:r>
      <w:r w:rsidR="00D02A6D" w:rsidRPr="008E33DF">
        <w:rPr>
          <w:rFonts w:cs="Helvetica"/>
          <w:szCs w:val="20"/>
        </w:rPr>
        <w:t>I</w:t>
      </w:r>
      <w:r w:rsidRPr="008E33DF">
        <w:rPr>
          <w:rFonts w:cs="Helvetica"/>
          <w:szCs w:val="20"/>
        </w:rPr>
        <w:t>n de afgewezen uitspraken</w:t>
      </w:r>
      <w:r w:rsidR="00D02A6D" w:rsidRPr="008E33DF">
        <w:rPr>
          <w:rFonts w:cs="Helvetica"/>
          <w:szCs w:val="20"/>
        </w:rPr>
        <w:t xml:space="preserve"> wordt</w:t>
      </w:r>
      <w:r w:rsidRPr="008E33DF">
        <w:rPr>
          <w:rFonts w:cs="Helvetica"/>
          <w:szCs w:val="20"/>
        </w:rPr>
        <w:t xml:space="preserve"> vooral getoetst </w:t>
      </w:r>
      <w:r w:rsidR="00DE78C1" w:rsidRPr="008E33DF">
        <w:rPr>
          <w:rFonts w:cs="Helvetica"/>
          <w:szCs w:val="20"/>
        </w:rPr>
        <w:t>op slechts ee</w:t>
      </w:r>
      <w:r w:rsidR="00FD5C22" w:rsidRPr="008E33DF">
        <w:rPr>
          <w:rFonts w:cs="Helvetica"/>
          <w:szCs w:val="20"/>
        </w:rPr>
        <w:t>n of twee factoren.</w:t>
      </w:r>
      <w:r w:rsidR="00C66CEB" w:rsidRPr="008E33DF">
        <w:rPr>
          <w:rFonts w:cs="Helvetica"/>
          <w:szCs w:val="20"/>
        </w:rPr>
        <w:t xml:space="preserve"> </w:t>
      </w:r>
      <w:r w:rsidR="00FD5C22" w:rsidRPr="008E33DF">
        <w:rPr>
          <w:rFonts w:cs="Helvetica"/>
          <w:szCs w:val="20"/>
        </w:rPr>
        <w:t>I</w:t>
      </w:r>
      <w:r w:rsidRPr="008E33DF">
        <w:rPr>
          <w:rFonts w:cs="Helvetica"/>
          <w:szCs w:val="20"/>
        </w:rPr>
        <w:t>n de toegewezen uitspraken daarentegen</w:t>
      </w:r>
      <w:r w:rsidR="00DE78C1" w:rsidRPr="008E33DF">
        <w:rPr>
          <w:rFonts w:cs="Helvetica"/>
          <w:szCs w:val="20"/>
        </w:rPr>
        <w:t>,</w:t>
      </w:r>
      <w:r w:rsidRPr="008E33DF">
        <w:rPr>
          <w:rFonts w:cs="Helvetica"/>
          <w:szCs w:val="20"/>
        </w:rPr>
        <w:t xml:space="preserve"> wordt slechts in één uitspraak getoetst op enkel één factor. Dit kan als volgt worden verklaard. Indien de rechter bij de toetsing van </w:t>
      </w:r>
      <w:r w:rsidR="00DE78C1" w:rsidRPr="008E33DF">
        <w:rPr>
          <w:rFonts w:cs="Helvetica"/>
          <w:szCs w:val="20"/>
        </w:rPr>
        <w:t>ee</w:t>
      </w:r>
      <w:r w:rsidRPr="008E33DF">
        <w:rPr>
          <w:rFonts w:cs="Helvetica"/>
          <w:szCs w:val="20"/>
        </w:rPr>
        <w:t xml:space="preserve">n van de beoordelingsfactoren tot oordeel komt dat de overeenkomst niet kan worden gekwalificeerd als </w:t>
      </w:r>
      <w:r w:rsidR="00FD5C22" w:rsidRPr="008E33DF">
        <w:rPr>
          <w:rFonts w:cs="Helvetica"/>
          <w:szCs w:val="20"/>
        </w:rPr>
        <w:t>een huurovereenkomst die</w:t>
      </w:r>
      <w:r w:rsidRPr="008E33DF">
        <w:rPr>
          <w:rFonts w:cs="Helvetica"/>
          <w:szCs w:val="20"/>
        </w:rPr>
        <w:t xml:space="preserve"> naar </w:t>
      </w:r>
      <w:r w:rsidR="00DD7E72" w:rsidRPr="008E33DF">
        <w:rPr>
          <w:rFonts w:cs="Helvetica"/>
          <w:szCs w:val="20"/>
        </w:rPr>
        <w:t>zijn aard van korte duur is</w:t>
      </w:r>
      <w:r w:rsidR="00DE78C1" w:rsidRPr="008E33DF">
        <w:rPr>
          <w:rFonts w:cs="Helvetica"/>
          <w:szCs w:val="20"/>
        </w:rPr>
        <w:t>,</w:t>
      </w:r>
      <w:r w:rsidR="00DD7E72" w:rsidRPr="008E33DF">
        <w:rPr>
          <w:rFonts w:cs="Helvetica"/>
          <w:szCs w:val="20"/>
        </w:rPr>
        <w:t xml:space="preserve"> zal</w:t>
      </w:r>
      <w:r w:rsidR="00D02A6D" w:rsidRPr="008E33DF">
        <w:rPr>
          <w:rFonts w:cs="Helvetica"/>
          <w:szCs w:val="20"/>
        </w:rPr>
        <w:t xml:space="preserve"> hij </w:t>
      </w:r>
      <w:r w:rsidRPr="008E33DF">
        <w:rPr>
          <w:rFonts w:cs="Helvetica"/>
          <w:szCs w:val="20"/>
        </w:rPr>
        <w:t>het beroep ook af</w:t>
      </w:r>
      <w:r w:rsidR="00D02A6D" w:rsidRPr="008E33DF">
        <w:rPr>
          <w:rFonts w:cs="Helvetica"/>
          <w:szCs w:val="20"/>
        </w:rPr>
        <w:t>wijzen</w:t>
      </w:r>
      <w:r w:rsidRPr="008E33DF">
        <w:rPr>
          <w:rFonts w:cs="Helvetica"/>
          <w:szCs w:val="20"/>
        </w:rPr>
        <w:t>. Hier staat tegenov</w:t>
      </w:r>
      <w:r w:rsidR="00DE78C1" w:rsidRPr="008E33DF">
        <w:rPr>
          <w:rFonts w:cs="Helvetica"/>
          <w:szCs w:val="20"/>
        </w:rPr>
        <w:t>er dat, om</w:t>
      </w:r>
      <w:r w:rsidR="00FD5C22" w:rsidRPr="008E33DF">
        <w:rPr>
          <w:rFonts w:cs="Helvetica"/>
          <w:szCs w:val="20"/>
        </w:rPr>
        <w:t xml:space="preserve"> het beroep </w:t>
      </w:r>
      <w:r w:rsidR="00DE78C1" w:rsidRPr="008E33DF">
        <w:rPr>
          <w:rFonts w:cs="Helvetica"/>
          <w:szCs w:val="20"/>
        </w:rPr>
        <w:t>te laten</w:t>
      </w:r>
      <w:r w:rsidRPr="008E33DF">
        <w:rPr>
          <w:rFonts w:cs="Helvetica"/>
          <w:szCs w:val="20"/>
        </w:rPr>
        <w:t xml:space="preserve"> slagen, </w:t>
      </w:r>
      <w:r w:rsidR="00D14B48" w:rsidRPr="008E33DF">
        <w:rPr>
          <w:rFonts w:cs="Helvetica"/>
        </w:rPr>
        <w:t>moet blijken dat de toetsing op geen enkel beoordelingsfactor aanleiding geeft</w:t>
      </w:r>
      <w:r w:rsidR="00DE78C1" w:rsidRPr="008E33DF">
        <w:rPr>
          <w:rFonts w:cs="Helvetica"/>
        </w:rPr>
        <w:t>,</w:t>
      </w:r>
      <w:r w:rsidR="00D14B48" w:rsidRPr="008E33DF">
        <w:rPr>
          <w:rFonts w:cs="Helvetica"/>
        </w:rPr>
        <w:t xml:space="preserve"> dat er geen sprake kan zijn van een huurovereenkomst die naar zijn aard van korte duur is. </w:t>
      </w:r>
    </w:p>
    <w:p w:rsidR="008F286C" w:rsidRPr="008E33DF" w:rsidRDefault="008F286C" w:rsidP="00A54503">
      <w:pPr>
        <w:rPr>
          <w:rFonts w:cs="Helvetica"/>
          <w:szCs w:val="20"/>
        </w:rPr>
      </w:pPr>
    </w:p>
    <w:p w:rsidR="00A54503" w:rsidRPr="008E33DF" w:rsidRDefault="00A54503" w:rsidP="00A54503">
      <w:pPr>
        <w:rPr>
          <w:rFonts w:cs="Helvetica"/>
          <w:szCs w:val="20"/>
        </w:rPr>
      </w:pPr>
      <w:r w:rsidRPr="008E33DF">
        <w:rPr>
          <w:rFonts w:cs="Helvetica"/>
          <w:szCs w:val="20"/>
        </w:rPr>
        <w:t xml:space="preserve">Voorts is gebleken dat </w:t>
      </w:r>
      <w:r w:rsidR="00DE78C1" w:rsidRPr="008E33DF">
        <w:rPr>
          <w:rFonts w:cs="Helvetica"/>
          <w:szCs w:val="20"/>
        </w:rPr>
        <w:t>bij de afgewezen uitspraken g</w:t>
      </w:r>
      <w:r w:rsidRPr="008E33DF">
        <w:rPr>
          <w:rFonts w:cs="Helvetica"/>
          <w:szCs w:val="20"/>
        </w:rPr>
        <w:t>een bepaald</w:t>
      </w:r>
      <w:r w:rsidR="00FD5C22" w:rsidRPr="008E33DF">
        <w:rPr>
          <w:rFonts w:cs="Helvetica"/>
          <w:szCs w:val="20"/>
        </w:rPr>
        <w:t>e</w:t>
      </w:r>
      <w:r w:rsidR="00DE78C1" w:rsidRPr="008E33DF">
        <w:rPr>
          <w:rFonts w:cs="Helvetica"/>
          <w:szCs w:val="20"/>
        </w:rPr>
        <w:t xml:space="preserve"> factor </w:t>
      </w:r>
      <w:r w:rsidRPr="008E33DF">
        <w:rPr>
          <w:rFonts w:cs="Helvetica"/>
          <w:szCs w:val="20"/>
        </w:rPr>
        <w:t>is waarop de rechter vaker toetst dan op andere factoren. Bij de toegewezen uitspraken daarentegen</w:t>
      </w:r>
      <w:r w:rsidR="00DE78C1" w:rsidRPr="008E33DF">
        <w:rPr>
          <w:rFonts w:cs="Helvetica"/>
          <w:szCs w:val="20"/>
        </w:rPr>
        <w:t>,</w:t>
      </w:r>
      <w:r w:rsidRPr="008E33DF">
        <w:rPr>
          <w:rFonts w:cs="Helvetica"/>
          <w:szCs w:val="20"/>
        </w:rPr>
        <w:t xml:space="preserve"> is het opvallend dat de rechter he</w:t>
      </w:r>
      <w:r w:rsidR="00DE78C1" w:rsidRPr="008E33DF">
        <w:rPr>
          <w:rFonts w:cs="Helvetica"/>
          <w:szCs w:val="20"/>
        </w:rPr>
        <w:t>t vaakst toetst op de factoren</w:t>
      </w:r>
      <w:r w:rsidRPr="008E33DF">
        <w:rPr>
          <w:rFonts w:cs="Helvetica"/>
          <w:szCs w:val="20"/>
        </w:rPr>
        <w:t xml:space="preserve"> </w:t>
      </w:r>
      <w:r w:rsidR="00DE78C1" w:rsidRPr="008E33DF">
        <w:rPr>
          <w:rFonts w:cs="Helvetica"/>
          <w:szCs w:val="20"/>
        </w:rPr>
        <w:t>'</w:t>
      </w:r>
      <w:r w:rsidRPr="008E33DF">
        <w:rPr>
          <w:rFonts w:cs="Helvetica"/>
          <w:szCs w:val="20"/>
        </w:rPr>
        <w:t>aard van het gebruik</w:t>
      </w:r>
      <w:r w:rsidR="00DE78C1" w:rsidRPr="008E33DF">
        <w:rPr>
          <w:rFonts w:cs="Helvetica"/>
          <w:szCs w:val="20"/>
        </w:rPr>
        <w:t>'</w:t>
      </w:r>
      <w:r w:rsidRPr="008E33DF">
        <w:rPr>
          <w:rFonts w:cs="Helvetica"/>
          <w:szCs w:val="20"/>
        </w:rPr>
        <w:t xml:space="preserve"> en </w:t>
      </w:r>
      <w:r w:rsidR="00DE78C1" w:rsidRPr="008E33DF">
        <w:rPr>
          <w:rFonts w:cs="Helvetica"/>
          <w:szCs w:val="20"/>
        </w:rPr>
        <w:t>'</w:t>
      </w:r>
      <w:r w:rsidRPr="008E33DF">
        <w:rPr>
          <w:rFonts w:cs="Helvetica"/>
          <w:szCs w:val="20"/>
        </w:rPr>
        <w:t>bedoelingen van partijen</w:t>
      </w:r>
      <w:r w:rsidR="00DE78C1" w:rsidRPr="008E33DF">
        <w:rPr>
          <w:rFonts w:cs="Helvetica"/>
          <w:szCs w:val="20"/>
        </w:rPr>
        <w:t>'</w:t>
      </w:r>
      <w:r w:rsidRPr="008E33DF">
        <w:rPr>
          <w:rFonts w:cs="Helvetica"/>
          <w:szCs w:val="20"/>
        </w:rPr>
        <w:t>. Op de vraag welke feiten en omstandigheden doorslaggevend zijn bij de toetsing op deze factoren</w:t>
      </w:r>
      <w:r w:rsidR="00DE78C1" w:rsidRPr="008E33DF">
        <w:rPr>
          <w:rFonts w:cs="Helvetica"/>
          <w:szCs w:val="20"/>
        </w:rPr>
        <w:t>,</w:t>
      </w:r>
      <w:r w:rsidRPr="008E33DF">
        <w:rPr>
          <w:rFonts w:cs="Helvetica"/>
          <w:szCs w:val="20"/>
        </w:rPr>
        <w:t xml:space="preserve"> </w:t>
      </w:r>
      <w:r w:rsidR="00DE78C1" w:rsidRPr="008E33DF">
        <w:rPr>
          <w:rFonts w:cs="Helvetica"/>
          <w:szCs w:val="20"/>
        </w:rPr>
        <w:t>wordt</w:t>
      </w:r>
      <w:r w:rsidRPr="008E33DF">
        <w:rPr>
          <w:rFonts w:cs="Helvetica"/>
          <w:szCs w:val="20"/>
        </w:rPr>
        <w:t xml:space="preserve"> hierna per factor antwoord op </w:t>
      </w:r>
      <w:r w:rsidR="00DE78C1" w:rsidRPr="008E33DF">
        <w:rPr>
          <w:rFonts w:cs="Helvetica"/>
          <w:szCs w:val="20"/>
        </w:rPr>
        <w:t>ge</w:t>
      </w:r>
      <w:r w:rsidRPr="008E33DF">
        <w:rPr>
          <w:rFonts w:cs="Helvetica"/>
          <w:szCs w:val="20"/>
        </w:rPr>
        <w:t xml:space="preserve">geven. </w:t>
      </w:r>
    </w:p>
    <w:p w:rsidR="00A54503" w:rsidRPr="008E33DF" w:rsidRDefault="00A54503" w:rsidP="00A54503">
      <w:pPr>
        <w:rPr>
          <w:rFonts w:cs="Helvetica"/>
          <w:szCs w:val="20"/>
        </w:rPr>
      </w:pPr>
    </w:p>
    <w:p w:rsidR="00EA042E" w:rsidRPr="008E33DF" w:rsidRDefault="00A54503" w:rsidP="00A54503">
      <w:pPr>
        <w:rPr>
          <w:rFonts w:cs="Helvetica"/>
          <w:szCs w:val="20"/>
        </w:rPr>
      </w:pPr>
      <w:r w:rsidRPr="008E33DF">
        <w:rPr>
          <w:rFonts w:cs="Helvetica"/>
          <w:szCs w:val="20"/>
        </w:rPr>
        <w:t>Bij de toetsing op</w:t>
      </w:r>
      <w:r w:rsidRPr="008E33DF">
        <w:rPr>
          <w:rFonts w:cs="Helvetica"/>
          <w:b/>
          <w:szCs w:val="20"/>
        </w:rPr>
        <w:t xml:space="preserve"> de aard van het gehuurde</w:t>
      </w:r>
      <w:r w:rsidR="003F7F7A" w:rsidRPr="008E33DF">
        <w:rPr>
          <w:rFonts w:cs="Helvetica"/>
          <w:szCs w:val="20"/>
        </w:rPr>
        <w:t xml:space="preserve"> kijkt de rechter vooral</w:t>
      </w:r>
      <w:r w:rsidR="00EA042E" w:rsidRPr="008E33DF">
        <w:rPr>
          <w:rFonts w:cs="Helvetica"/>
          <w:szCs w:val="20"/>
        </w:rPr>
        <w:t xml:space="preserve"> of het gehuurde enige bijzonderheden bevat die aanleiding kan geven dat de huurovereenkomst naar zijn aard van korte duur is. Hierbij is de slechte staat van het gehu</w:t>
      </w:r>
      <w:r w:rsidR="00FB0188" w:rsidRPr="008E33DF">
        <w:rPr>
          <w:rFonts w:cs="Helvetica"/>
          <w:szCs w:val="20"/>
        </w:rPr>
        <w:t>urde een belangrijke criterium.</w:t>
      </w:r>
      <w:r w:rsidR="00852391" w:rsidRPr="008E33DF">
        <w:rPr>
          <w:rFonts w:cs="Helvetica"/>
          <w:szCs w:val="20"/>
        </w:rPr>
        <w:t xml:space="preserve"> Het feit dat e</w:t>
      </w:r>
      <w:r w:rsidR="00EA042E" w:rsidRPr="008E33DF">
        <w:rPr>
          <w:rFonts w:cs="Helvetica"/>
          <w:szCs w:val="20"/>
        </w:rPr>
        <w:t>en woonruimte in</w:t>
      </w:r>
      <w:r w:rsidR="00FB0188" w:rsidRPr="008E33DF">
        <w:rPr>
          <w:rFonts w:cs="Helvetica"/>
          <w:szCs w:val="20"/>
        </w:rPr>
        <w:t xml:space="preserve"> een</w:t>
      </w:r>
      <w:r w:rsidR="00EA042E" w:rsidRPr="008E33DF">
        <w:rPr>
          <w:rFonts w:cs="Helvetica"/>
          <w:szCs w:val="20"/>
        </w:rPr>
        <w:t xml:space="preserve"> zodanig slechte staat verkeert </w:t>
      </w:r>
      <w:r w:rsidR="003F7F7A" w:rsidRPr="008E33DF">
        <w:rPr>
          <w:rFonts w:cs="Helvetica"/>
          <w:szCs w:val="20"/>
        </w:rPr>
        <w:t>dat deze</w:t>
      </w:r>
      <w:r w:rsidR="00EA042E" w:rsidRPr="008E33DF">
        <w:rPr>
          <w:rFonts w:cs="Helvetica"/>
          <w:szCs w:val="20"/>
        </w:rPr>
        <w:t xml:space="preserve"> niet geschikt is voor langdurig of permanent verblijf </w:t>
      </w:r>
      <w:r w:rsidR="003F7F7A" w:rsidRPr="008E33DF">
        <w:rPr>
          <w:rFonts w:cs="Helvetica"/>
          <w:szCs w:val="20"/>
        </w:rPr>
        <w:t xml:space="preserve">is voor de rechter </w:t>
      </w:r>
      <w:r w:rsidR="00852391" w:rsidRPr="008E33DF">
        <w:rPr>
          <w:rFonts w:cs="Helvetica"/>
          <w:szCs w:val="20"/>
        </w:rPr>
        <w:t xml:space="preserve">een duidelijke aanwijzing dat de huur van deze woonruimte naar zijn aard van korte duur is. </w:t>
      </w:r>
    </w:p>
    <w:p w:rsidR="00852391" w:rsidRPr="008E33DF" w:rsidRDefault="00852391" w:rsidP="00A54503">
      <w:pPr>
        <w:rPr>
          <w:rFonts w:cs="Helvetica"/>
          <w:szCs w:val="20"/>
        </w:rPr>
      </w:pPr>
    </w:p>
    <w:p w:rsidR="00A54503" w:rsidRPr="008E33DF" w:rsidRDefault="00FB0188" w:rsidP="00A54503">
      <w:pPr>
        <w:rPr>
          <w:rFonts w:cs="Helvetica"/>
          <w:szCs w:val="20"/>
        </w:rPr>
      </w:pPr>
      <w:r w:rsidRPr="008E33DF">
        <w:rPr>
          <w:rFonts w:cs="Helvetica"/>
          <w:szCs w:val="20"/>
        </w:rPr>
        <w:lastRenderedPageBreak/>
        <w:t>Een ander</w:t>
      </w:r>
      <w:r w:rsidR="00852391" w:rsidRPr="008E33DF">
        <w:rPr>
          <w:rFonts w:cs="Helvetica"/>
          <w:szCs w:val="20"/>
        </w:rPr>
        <w:t xml:space="preserve"> bijzondere omstandigheid die aanleiding geeft om de huurovereenkomst te kwalificeren als een huurovereenkomst die naar zijn aard van korte duur is, is dat de woonruimte</w:t>
      </w:r>
      <w:r w:rsidR="00A54503" w:rsidRPr="008E33DF">
        <w:rPr>
          <w:rFonts w:cs="Helvetica"/>
          <w:szCs w:val="20"/>
        </w:rPr>
        <w:t xml:space="preserve"> gemeubileerd </w:t>
      </w:r>
      <w:r w:rsidR="00852391" w:rsidRPr="008E33DF">
        <w:rPr>
          <w:rFonts w:cs="Helvetica"/>
          <w:szCs w:val="20"/>
        </w:rPr>
        <w:t>wordt</w:t>
      </w:r>
      <w:r w:rsidR="00A54503" w:rsidRPr="008E33DF">
        <w:rPr>
          <w:rFonts w:cs="Helvetica"/>
          <w:szCs w:val="20"/>
        </w:rPr>
        <w:t xml:space="preserve"> verhuurd. </w:t>
      </w:r>
      <w:r w:rsidR="00852391" w:rsidRPr="008E33DF">
        <w:rPr>
          <w:rFonts w:cs="Helvetica"/>
          <w:szCs w:val="20"/>
        </w:rPr>
        <w:t>Wanneer de verhuurder ook persoonlijke eigendommen achterlaat in de woning g</w:t>
      </w:r>
      <w:r w:rsidR="00A54503" w:rsidRPr="008E33DF">
        <w:rPr>
          <w:rFonts w:cs="Helvetica"/>
          <w:szCs w:val="20"/>
        </w:rPr>
        <w:t>eeft</w:t>
      </w:r>
      <w:r w:rsidR="00852391" w:rsidRPr="008E33DF">
        <w:rPr>
          <w:rFonts w:cs="Helvetica"/>
          <w:szCs w:val="20"/>
        </w:rPr>
        <w:t xml:space="preserve"> dit des te meer reden om de huurovereenkomst als zodanig te kwalificeren.</w:t>
      </w:r>
    </w:p>
    <w:p w:rsidR="00A54503" w:rsidRPr="008E33DF" w:rsidRDefault="00A54503" w:rsidP="00A54503">
      <w:pPr>
        <w:rPr>
          <w:rFonts w:cs="Helvetica"/>
          <w:szCs w:val="20"/>
        </w:rPr>
      </w:pPr>
    </w:p>
    <w:p w:rsidR="00D75D29" w:rsidRPr="008E33DF" w:rsidRDefault="00FB0188" w:rsidP="00A54503">
      <w:pPr>
        <w:rPr>
          <w:rFonts w:cs="Helvetica"/>
          <w:szCs w:val="20"/>
        </w:rPr>
      </w:pPr>
      <w:r w:rsidRPr="008E33DF">
        <w:rPr>
          <w:rFonts w:cs="Helvetica"/>
          <w:szCs w:val="20"/>
        </w:rPr>
        <w:t>B</w:t>
      </w:r>
      <w:r w:rsidR="00D75D29" w:rsidRPr="008E33DF">
        <w:rPr>
          <w:rFonts w:cs="Helvetica"/>
          <w:szCs w:val="20"/>
        </w:rPr>
        <w:t>ij de toetsing op de aard van het gehuurde</w:t>
      </w:r>
      <w:r w:rsidRPr="008E33DF">
        <w:rPr>
          <w:rFonts w:cs="Helvetica"/>
          <w:szCs w:val="20"/>
        </w:rPr>
        <w:t xml:space="preserve"> in de afgewezen uitspraken valt het op dat</w:t>
      </w:r>
      <w:r w:rsidR="00D75D29" w:rsidRPr="008E33DF">
        <w:rPr>
          <w:rFonts w:cs="Helvetica"/>
          <w:szCs w:val="20"/>
        </w:rPr>
        <w:t xml:space="preserve"> de rechter weinig motivering geeft en slechts benoemt dat het een woonruimte betreft zonder bijzonderheden die geschikt is voor langdurig verblijf. Hieruit blijkt des te meer dat de rechter bij de toetsing op deze beoordelingsfactor vooral kijkt of deze enige bijzonderheden bevat. Indien de woonruimte geen bijzonderheden bevat en gewoon geschikt is voor permanent verblijf vindt de rechter het voldoende om dit slechts te benoemen zonder een motivering te geven. </w:t>
      </w:r>
    </w:p>
    <w:p w:rsidR="00A54503" w:rsidRPr="008E33DF" w:rsidRDefault="00A54503" w:rsidP="00A54503">
      <w:pPr>
        <w:rPr>
          <w:rFonts w:cs="Helvetica"/>
          <w:szCs w:val="20"/>
        </w:rPr>
      </w:pPr>
    </w:p>
    <w:p w:rsidR="00A54503" w:rsidRPr="008E33DF" w:rsidRDefault="00A54503" w:rsidP="00A54503">
      <w:pPr>
        <w:rPr>
          <w:rFonts w:cs="Helvetica"/>
          <w:szCs w:val="20"/>
        </w:rPr>
      </w:pPr>
      <w:r w:rsidRPr="008E33DF">
        <w:rPr>
          <w:rFonts w:cs="Helvetica"/>
          <w:szCs w:val="20"/>
        </w:rPr>
        <w:t xml:space="preserve">De </w:t>
      </w:r>
      <w:r w:rsidRPr="008E33DF">
        <w:rPr>
          <w:rFonts w:cs="Helvetica"/>
          <w:b/>
          <w:szCs w:val="20"/>
        </w:rPr>
        <w:t>aard van het gebruik</w:t>
      </w:r>
      <w:r w:rsidR="00FD5C22" w:rsidRPr="008E33DF">
        <w:rPr>
          <w:rFonts w:cs="Helvetica"/>
          <w:szCs w:val="20"/>
        </w:rPr>
        <w:t xml:space="preserve"> bevat naar </w:t>
      </w:r>
      <w:r w:rsidR="00FB0188" w:rsidRPr="008E33DF">
        <w:rPr>
          <w:rFonts w:cs="Helvetica"/>
          <w:szCs w:val="20"/>
        </w:rPr>
        <w:t>de</w:t>
      </w:r>
      <w:r w:rsidR="00FD5C22" w:rsidRPr="008E33DF">
        <w:rPr>
          <w:rFonts w:cs="Helvetica"/>
          <w:szCs w:val="20"/>
        </w:rPr>
        <w:t xml:space="preserve"> bevindingen</w:t>
      </w:r>
      <w:r w:rsidR="00FB0188" w:rsidRPr="008E33DF">
        <w:rPr>
          <w:rFonts w:cs="Helvetica"/>
          <w:szCs w:val="20"/>
        </w:rPr>
        <w:t xml:space="preserve"> van dit onderzoek</w:t>
      </w:r>
      <w:r w:rsidR="00FD5C22" w:rsidRPr="008E33DF">
        <w:rPr>
          <w:rFonts w:cs="Helvetica"/>
          <w:szCs w:val="20"/>
        </w:rPr>
        <w:t xml:space="preserve"> de</w:t>
      </w:r>
      <w:r w:rsidRPr="008E33DF">
        <w:rPr>
          <w:rFonts w:cs="Helvetica"/>
          <w:szCs w:val="20"/>
        </w:rPr>
        <w:t xml:space="preserve"> meest doorslaggevende feite</w:t>
      </w:r>
      <w:r w:rsidR="00A27D40" w:rsidRPr="008E33DF">
        <w:rPr>
          <w:rFonts w:cs="Helvetica"/>
          <w:szCs w:val="20"/>
        </w:rPr>
        <w:t>n en omstandigheden. In</w:t>
      </w:r>
      <w:r w:rsidRPr="008E33DF">
        <w:rPr>
          <w:rFonts w:cs="Helvetica"/>
          <w:szCs w:val="20"/>
        </w:rPr>
        <w:t xml:space="preserve"> alle uitspraken waarbij het beroep op de uitzonderingsgrond wordt toegewezen, wordt </w:t>
      </w:r>
      <w:r w:rsidR="00A27D40" w:rsidRPr="008E33DF">
        <w:rPr>
          <w:rFonts w:cs="Helvetica"/>
          <w:szCs w:val="20"/>
        </w:rPr>
        <w:t xml:space="preserve">namelijk </w:t>
      </w:r>
      <w:r w:rsidRPr="008E33DF">
        <w:rPr>
          <w:rFonts w:cs="Helvetica"/>
          <w:szCs w:val="20"/>
        </w:rPr>
        <w:t>getoetst op de aard van het gebruik. Bij de toetsing kijkt de rechter vooral of</w:t>
      </w:r>
      <w:r w:rsidR="00CB6E8A" w:rsidRPr="008E33DF">
        <w:rPr>
          <w:rFonts w:cs="Helvetica"/>
          <w:szCs w:val="20"/>
        </w:rPr>
        <w:t xml:space="preserve"> de beschikbaarheid van de woning wordt beperkt in</w:t>
      </w:r>
      <w:r w:rsidR="00683E94" w:rsidRPr="008E33DF">
        <w:rPr>
          <w:rFonts w:cs="Helvetica"/>
          <w:szCs w:val="20"/>
        </w:rPr>
        <w:t xml:space="preserve"> </w:t>
      </w:r>
      <w:r w:rsidR="00CB6E8A" w:rsidRPr="008E33DF">
        <w:rPr>
          <w:rFonts w:cs="Helvetica"/>
          <w:szCs w:val="20"/>
        </w:rPr>
        <w:t>duur</w:t>
      </w:r>
      <w:r w:rsidRPr="008E33DF">
        <w:rPr>
          <w:rFonts w:cs="Helvetica"/>
          <w:szCs w:val="20"/>
        </w:rPr>
        <w:t>.</w:t>
      </w:r>
      <w:r w:rsidR="00CB6E8A" w:rsidRPr="008E33DF">
        <w:rPr>
          <w:rFonts w:cs="Helvetica"/>
          <w:szCs w:val="20"/>
        </w:rPr>
        <w:t xml:space="preserve"> Het gaat hierbij vooral om woonruimten die op de nominatie staan voor sloop.</w:t>
      </w:r>
      <w:r w:rsidRPr="008E33DF">
        <w:rPr>
          <w:rFonts w:cs="Helvetica"/>
          <w:szCs w:val="20"/>
        </w:rPr>
        <w:t xml:space="preserve"> De woning</w:t>
      </w:r>
      <w:r w:rsidR="00CB6E8A" w:rsidRPr="008E33DF">
        <w:rPr>
          <w:rFonts w:cs="Helvetica"/>
          <w:szCs w:val="20"/>
        </w:rPr>
        <w:t xml:space="preserve"> die op de nominatie staat voor sloop</w:t>
      </w:r>
      <w:r w:rsidRPr="008E33DF">
        <w:rPr>
          <w:rFonts w:cs="Helvetica"/>
          <w:szCs w:val="20"/>
        </w:rPr>
        <w:t xml:space="preserve"> is namelijk beschikbaar tot aanvang van </w:t>
      </w:r>
      <w:r w:rsidR="00CB6E8A" w:rsidRPr="008E33DF">
        <w:rPr>
          <w:rFonts w:cs="Helvetica"/>
          <w:szCs w:val="20"/>
        </w:rPr>
        <w:t>de geplande sloop</w:t>
      </w:r>
      <w:r w:rsidRPr="008E33DF">
        <w:rPr>
          <w:rFonts w:cs="Helvetica"/>
          <w:szCs w:val="20"/>
        </w:rPr>
        <w:t xml:space="preserve">. Dat de beschikbaarheid in duur wordt begrensd kan ook afgeleid worden </w:t>
      </w:r>
      <w:r w:rsidR="00A27D40" w:rsidRPr="008E33DF">
        <w:rPr>
          <w:rFonts w:cs="Helvetica"/>
          <w:szCs w:val="20"/>
        </w:rPr>
        <w:t>uit</w:t>
      </w:r>
      <w:r w:rsidRPr="008E33DF">
        <w:rPr>
          <w:rFonts w:cs="Helvetica"/>
          <w:szCs w:val="20"/>
        </w:rPr>
        <w:t xml:space="preserve"> de beoogde terugkeer van de verhuurder in de woning, de verbondenheid van het huurcontract aan de stage of studie van de huurder en uit de omstandigheid dat </w:t>
      </w:r>
      <w:r w:rsidR="00FD5C22" w:rsidRPr="008E33DF">
        <w:rPr>
          <w:rFonts w:cs="Helvetica"/>
          <w:szCs w:val="20"/>
        </w:rPr>
        <w:t xml:space="preserve">de </w:t>
      </w:r>
      <w:r w:rsidRPr="008E33DF">
        <w:rPr>
          <w:rFonts w:cs="Helvetica"/>
          <w:szCs w:val="20"/>
        </w:rPr>
        <w:t xml:space="preserve">verhuurder het gehuurde zelf maar voor beperkte periode mag exploiteren. </w:t>
      </w:r>
      <w:r w:rsidR="00A27D40" w:rsidRPr="008E33DF">
        <w:rPr>
          <w:rFonts w:cs="Helvetica"/>
          <w:szCs w:val="20"/>
        </w:rPr>
        <w:t>Het is d</w:t>
      </w:r>
      <w:r w:rsidRPr="008E33DF">
        <w:rPr>
          <w:rFonts w:cs="Helvetica"/>
          <w:szCs w:val="20"/>
        </w:rPr>
        <w:t>uidelijk dat wanneer de beschikbaarheid van</w:t>
      </w:r>
      <w:r w:rsidR="00CA6AFA" w:rsidRPr="008E33DF">
        <w:rPr>
          <w:rFonts w:cs="Helvetica"/>
          <w:szCs w:val="20"/>
        </w:rPr>
        <w:t xml:space="preserve"> de woning in duur is begrensd</w:t>
      </w:r>
      <w:r w:rsidR="00A27D40" w:rsidRPr="008E33DF">
        <w:rPr>
          <w:rFonts w:cs="Helvetica"/>
          <w:szCs w:val="20"/>
        </w:rPr>
        <w:t>,</w:t>
      </w:r>
      <w:r w:rsidR="00CA6AFA" w:rsidRPr="008E33DF">
        <w:rPr>
          <w:rFonts w:cs="Helvetica"/>
          <w:szCs w:val="20"/>
        </w:rPr>
        <w:t xml:space="preserve"> </w:t>
      </w:r>
      <w:r w:rsidRPr="008E33DF">
        <w:rPr>
          <w:rFonts w:cs="Helvetica"/>
          <w:szCs w:val="20"/>
        </w:rPr>
        <w:t xml:space="preserve">de aard van het gebruik van korte duur is. </w:t>
      </w:r>
    </w:p>
    <w:p w:rsidR="00A54503" w:rsidRPr="008E33DF" w:rsidRDefault="00A54503" w:rsidP="00A54503">
      <w:pPr>
        <w:rPr>
          <w:rFonts w:cs="Helvetica"/>
          <w:szCs w:val="20"/>
        </w:rPr>
      </w:pPr>
    </w:p>
    <w:p w:rsidR="00A54503" w:rsidRPr="008E33DF" w:rsidRDefault="00A54503" w:rsidP="00A54503">
      <w:pPr>
        <w:rPr>
          <w:rFonts w:cs="Helvetica"/>
          <w:szCs w:val="20"/>
        </w:rPr>
      </w:pPr>
      <w:r w:rsidRPr="008E33DF">
        <w:rPr>
          <w:rFonts w:cs="Helvetica"/>
          <w:szCs w:val="20"/>
        </w:rPr>
        <w:t>Vervolgens kan de overeengekomen huurprijs</w:t>
      </w:r>
      <w:r w:rsidR="00D02A6D" w:rsidRPr="008E33DF">
        <w:rPr>
          <w:rFonts w:cs="Helvetica"/>
          <w:szCs w:val="20"/>
        </w:rPr>
        <w:t xml:space="preserve"> </w:t>
      </w:r>
      <w:r w:rsidRPr="008E33DF">
        <w:rPr>
          <w:rFonts w:cs="Helvetica"/>
          <w:szCs w:val="20"/>
        </w:rPr>
        <w:t>aanwijzin</w:t>
      </w:r>
      <w:r w:rsidR="00D02A6D" w:rsidRPr="008E33DF">
        <w:rPr>
          <w:rFonts w:cs="Helvetica"/>
          <w:szCs w:val="20"/>
        </w:rPr>
        <w:t>gen bevatten</w:t>
      </w:r>
      <w:r w:rsidR="00A4441B" w:rsidRPr="008E33DF">
        <w:rPr>
          <w:rFonts w:cs="Helvetica"/>
          <w:szCs w:val="20"/>
        </w:rPr>
        <w:t xml:space="preserve"> voor de rechter</w:t>
      </w:r>
      <w:r w:rsidRPr="008E33DF">
        <w:rPr>
          <w:rFonts w:cs="Helvetica"/>
          <w:szCs w:val="20"/>
        </w:rPr>
        <w:t>. Wanneer tussen partijen een hoge huurprijs is overeengekomen</w:t>
      </w:r>
      <w:r w:rsidR="00A27D40" w:rsidRPr="008E33DF">
        <w:rPr>
          <w:rFonts w:cs="Helvetica"/>
          <w:szCs w:val="20"/>
        </w:rPr>
        <w:t>,</w:t>
      </w:r>
      <w:r w:rsidRPr="008E33DF">
        <w:rPr>
          <w:rFonts w:cs="Helvetica"/>
          <w:szCs w:val="20"/>
        </w:rPr>
        <w:t xml:space="preserve"> kan de rechter beoordelen dat in dat geval sprake is van reguliere huur. Indien echter een huurprijs is overeengekomen die niet of nauwelijks kostendekkend is voor de verhuurder</w:t>
      </w:r>
      <w:r w:rsidR="00A27D40" w:rsidRPr="008E33DF">
        <w:rPr>
          <w:rFonts w:cs="Helvetica"/>
          <w:szCs w:val="20"/>
        </w:rPr>
        <w:t>,</w:t>
      </w:r>
      <w:r w:rsidRPr="008E33DF">
        <w:rPr>
          <w:rFonts w:cs="Helvetica"/>
          <w:szCs w:val="20"/>
        </w:rPr>
        <w:t xml:space="preserve"> kan de rechter hieruit </w:t>
      </w:r>
      <w:r w:rsidR="00A27D40" w:rsidRPr="008E33DF">
        <w:rPr>
          <w:rFonts w:cs="Helvetica"/>
          <w:szCs w:val="20"/>
        </w:rPr>
        <w:t>af</w:t>
      </w:r>
      <w:r w:rsidRPr="008E33DF">
        <w:rPr>
          <w:rFonts w:cs="Helvetica"/>
          <w:szCs w:val="20"/>
        </w:rPr>
        <w:t>leiden dat de huurovereenkomst naar zijn aard van korte duur is.</w:t>
      </w:r>
      <w:r w:rsidR="00CA6AFA" w:rsidRPr="008E33DF">
        <w:rPr>
          <w:rFonts w:cs="Helvetica"/>
          <w:szCs w:val="20"/>
        </w:rPr>
        <w:t xml:space="preserve"> Hierbij kan ook een rol spelen</w:t>
      </w:r>
      <w:r w:rsidRPr="008E33DF">
        <w:rPr>
          <w:rFonts w:cs="Helvetica"/>
          <w:szCs w:val="20"/>
        </w:rPr>
        <w:t xml:space="preserve"> wie de kostendrager is van</w:t>
      </w:r>
      <w:r w:rsidR="00A27D40" w:rsidRPr="008E33DF">
        <w:rPr>
          <w:rFonts w:cs="Helvetica"/>
          <w:szCs w:val="20"/>
        </w:rPr>
        <w:t xml:space="preserve"> de</w:t>
      </w:r>
      <w:r w:rsidRPr="008E33DF">
        <w:rPr>
          <w:rFonts w:cs="Helvetica"/>
          <w:szCs w:val="20"/>
        </w:rPr>
        <w:t xml:space="preserve"> </w:t>
      </w:r>
      <w:r w:rsidR="00A27D40" w:rsidRPr="008E33DF">
        <w:rPr>
          <w:rFonts w:cs="Helvetica"/>
          <w:szCs w:val="20"/>
        </w:rPr>
        <w:t>energiekosten</w:t>
      </w:r>
      <w:r w:rsidRPr="008E33DF">
        <w:rPr>
          <w:rFonts w:cs="Helvetica"/>
          <w:szCs w:val="20"/>
        </w:rPr>
        <w:t>.</w:t>
      </w:r>
    </w:p>
    <w:p w:rsidR="00A54503" w:rsidRPr="008E33DF" w:rsidRDefault="00A54503" w:rsidP="00A54503">
      <w:pPr>
        <w:rPr>
          <w:rFonts w:cs="Helvetica"/>
          <w:szCs w:val="20"/>
        </w:rPr>
      </w:pPr>
    </w:p>
    <w:p w:rsidR="007314F2" w:rsidRPr="008E33DF" w:rsidRDefault="00CB6E8A" w:rsidP="00A54503">
      <w:pPr>
        <w:rPr>
          <w:rFonts w:cs="Helvetica"/>
          <w:szCs w:val="20"/>
        </w:rPr>
      </w:pPr>
      <w:r w:rsidRPr="008E33DF">
        <w:rPr>
          <w:rFonts w:cs="Helvetica"/>
          <w:szCs w:val="20"/>
        </w:rPr>
        <w:t xml:space="preserve">Voorts is </w:t>
      </w:r>
      <w:r w:rsidR="00D43B18" w:rsidRPr="008E33DF">
        <w:rPr>
          <w:rFonts w:cs="Helvetica"/>
          <w:szCs w:val="20"/>
        </w:rPr>
        <w:t xml:space="preserve">de verhuur van woonruimte met het doel een noodoplossing te bieden voor de huurder een belangrijke criterium. </w:t>
      </w:r>
      <w:r w:rsidR="000719A7" w:rsidRPr="008E33DF">
        <w:rPr>
          <w:rFonts w:cs="Helvetica"/>
          <w:szCs w:val="20"/>
        </w:rPr>
        <w:t>Deze omstandigheid is doorslaggevend voor de rechter bij het toewijzen van het beroep op de uitzonderingsbepaling.</w:t>
      </w:r>
    </w:p>
    <w:p w:rsidR="007314F2" w:rsidRPr="008E33DF" w:rsidRDefault="007314F2" w:rsidP="00A54503">
      <w:pPr>
        <w:rPr>
          <w:rFonts w:cs="Helvetica"/>
          <w:szCs w:val="20"/>
        </w:rPr>
      </w:pPr>
    </w:p>
    <w:p w:rsidR="00D43B18" w:rsidRPr="008E33DF" w:rsidRDefault="00A54503" w:rsidP="00A54503">
      <w:pPr>
        <w:rPr>
          <w:rFonts w:cs="Helvetica"/>
          <w:szCs w:val="20"/>
        </w:rPr>
      </w:pPr>
      <w:r w:rsidRPr="008E33DF">
        <w:rPr>
          <w:rFonts w:cs="Helvetica"/>
          <w:szCs w:val="20"/>
        </w:rPr>
        <w:t>In de afgewezen uitsprake</w:t>
      </w:r>
      <w:r w:rsidR="00CA6AFA" w:rsidRPr="008E33DF">
        <w:rPr>
          <w:rFonts w:cs="Helvetica"/>
          <w:szCs w:val="20"/>
        </w:rPr>
        <w:t xml:space="preserve">n speelt </w:t>
      </w:r>
      <w:r w:rsidR="00D43B18" w:rsidRPr="008E33DF">
        <w:rPr>
          <w:rFonts w:cs="Helvetica"/>
          <w:szCs w:val="20"/>
        </w:rPr>
        <w:t xml:space="preserve">bij de beoordeling van de rechter de manier van bewoning </w:t>
      </w:r>
      <w:r w:rsidR="00CA6AFA" w:rsidRPr="008E33DF">
        <w:rPr>
          <w:rFonts w:cs="Helvetica"/>
          <w:szCs w:val="20"/>
        </w:rPr>
        <w:t>ook een belangrijke rol</w:t>
      </w:r>
      <w:r w:rsidR="00D43B18" w:rsidRPr="008E33DF">
        <w:rPr>
          <w:rFonts w:cs="Helvetica"/>
          <w:szCs w:val="20"/>
        </w:rPr>
        <w:t>.</w:t>
      </w:r>
      <w:r w:rsidR="00A27D40" w:rsidRPr="008E33DF">
        <w:rPr>
          <w:rFonts w:cs="Helvetica"/>
          <w:szCs w:val="20"/>
        </w:rPr>
        <w:t xml:space="preserve"> De rechter oordeelt</w:t>
      </w:r>
      <w:r w:rsidR="004D5C43" w:rsidRPr="008E33DF">
        <w:rPr>
          <w:rFonts w:cs="Helvetica"/>
          <w:szCs w:val="20"/>
        </w:rPr>
        <w:t xml:space="preserve"> hierbij vooral</w:t>
      </w:r>
      <w:r w:rsidR="00CA6AFA" w:rsidRPr="008E33DF">
        <w:rPr>
          <w:rFonts w:cs="Helvetica"/>
          <w:szCs w:val="20"/>
        </w:rPr>
        <w:t xml:space="preserve"> dat de huurder de woonruimte gebruikt </w:t>
      </w:r>
      <w:r w:rsidRPr="008E33DF">
        <w:rPr>
          <w:rFonts w:cs="Helvetica"/>
          <w:szCs w:val="20"/>
        </w:rPr>
        <w:t xml:space="preserve">als hoofdverblijf. </w:t>
      </w:r>
      <w:r w:rsidR="00D43B18" w:rsidRPr="008E33DF">
        <w:rPr>
          <w:rFonts w:cs="Helvetica"/>
          <w:szCs w:val="20"/>
        </w:rPr>
        <w:t>In de uitspraken waarin het beroep wordt toegewezen komt echter ook voor dat de woonruimte wordt gebruikt als hoofdverblijf. In deze uitspraken wordt op grond van andere feiten en omstandigheden beoordeeld dat de aard van het gebruik van korte duur is. Hieruit valt te concluderen</w:t>
      </w:r>
      <w:r w:rsidR="00A27D40" w:rsidRPr="008E33DF">
        <w:rPr>
          <w:rFonts w:cs="Helvetica"/>
          <w:szCs w:val="20"/>
        </w:rPr>
        <w:t>,</w:t>
      </w:r>
      <w:r w:rsidR="00D43B18" w:rsidRPr="008E33DF">
        <w:rPr>
          <w:rFonts w:cs="Helvetica"/>
          <w:szCs w:val="20"/>
        </w:rPr>
        <w:t xml:space="preserve"> dat </w:t>
      </w:r>
      <w:r w:rsidR="00A27D40" w:rsidRPr="008E33DF">
        <w:rPr>
          <w:rFonts w:cs="Helvetica"/>
          <w:szCs w:val="20"/>
        </w:rPr>
        <w:t xml:space="preserve">het beroep slechts wordt afgewezen op grond van het feit dat de woonruimte als hoofdverblijf </w:t>
      </w:r>
      <w:r w:rsidR="00A27D40" w:rsidRPr="008E33DF">
        <w:rPr>
          <w:rFonts w:cs="Helvetica"/>
          <w:szCs w:val="20"/>
        </w:rPr>
        <w:lastRenderedPageBreak/>
        <w:t xml:space="preserve">wordt gebruikt, indien </w:t>
      </w:r>
      <w:r w:rsidR="00D43B18" w:rsidRPr="008E33DF">
        <w:rPr>
          <w:rFonts w:cs="Helvetica"/>
          <w:szCs w:val="20"/>
        </w:rPr>
        <w:t>op grond van andere feiten en omstandigheden geen aanleiding bestaat het beroep toe te wijzen</w:t>
      </w:r>
      <w:r w:rsidR="00A27D40" w:rsidRPr="008E33DF">
        <w:rPr>
          <w:rFonts w:cs="Helvetica"/>
          <w:szCs w:val="20"/>
        </w:rPr>
        <w:t>.</w:t>
      </w:r>
    </w:p>
    <w:p w:rsidR="00A54503" w:rsidRPr="008E33DF" w:rsidRDefault="00A54503" w:rsidP="00A54503">
      <w:pPr>
        <w:rPr>
          <w:rFonts w:cs="Helvetica"/>
          <w:szCs w:val="20"/>
        </w:rPr>
      </w:pPr>
    </w:p>
    <w:p w:rsidR="00A54503" w:rsidRPr="008E33DF" w:rsidRDefault="00A54503" w:rsidP="002D61DF">
      <w:pPr>
        <w:rPr>
          <w:rFonts w:cs="Helvetica"/>
          <w:szCs w:val="20"/>
        </w:rPr>
      </w:pPr>
      <w:r w:rsidRPr="008E33DF">
        <w:rPr>
          <w:rFonts w:cs="Helvetica"/>
          <w:szCs w:val="20"/>
        </w:rPr>
        <w:t xml:space="preserve">Bij de toetsing op </w:t>
      </w:r>
      <w:r w:rsidRPr="008E33DF">
        <w:rPr>
          <w:rFonts w:cs="Helvetica"/>
          <w:b/>
          <w:szCs w:val="20"/>
        </w:rPr>
        <w:t>de bedoelingen van partijen</w:t>
      </w:r>
      <w:r w:rsidRPr="008E33DF">
        <w:rPr>
          <w:rFonts w:cs="Helvetica"/>
          <w:szCs w:val="20"/>
        </w:rPr>
        <w:t xml:space="preserve"> kijkt de rechter vooral naar aanwijzi</w:t>
      </w:r>
      <w:r w:rsidR="004D5C43" w:rsidRPr="008E33DF">
        <w:rPr>
          <w:rFonts w:cs="Helvetica"/>
          <w:szCs w:val="20"/>
        </w:rPr>
        <w:t>ngen in de huurovereenkomst en</w:t>
      </w:r>
      <w:r w:rsidR="00A27D40" w:rsidRPr="008E33DF">
        <w:rPr>
          <w:rFonts w:cs="Helvetica"/>
          <w:szCs w:val="20"/>
        </w:rPr>
        <w:t>, of</w:t>
      </w:r>
      <w:r w:rsidR="00CA6AFA" w:rsidRPr="008E33DF">
        <w:rPr>
          <w:rFonts w:cs="Helvetica"/>
          <w:szCs w:val="20"/>
        </w:rPr>
        <w:t xml:space="preserve"> correspondentie. </w:t>
      </w:r>
      <w:r w:rsidR="004D5C43" w:rsidRPr="008E33DF">
        <w:rPr>
          <w:rFonts w:cs="Helvetica"/>
          <w:szCs w:val="20"/>
        </w:rPr>
        <w:t>Hierbij is van belang dat de</w:t>
      </w:r>
      <w:r w:rsidRPr="008E33DF">
        <w:rPr>
          <w:rFonts w:cs="Helvetica"/>
          <w:szCs w:val="20"/>
        </w:rPr>
        <w:t xml:space="preserve"> tijdelijke karakter van de </w:t>
      </w:r>
      <w:r w:rsidR="00921E20" w:rsidRPr="008E33DF">
        <w:rPr>
          <w:rFonts w:cs="Helvetica"/>
          <w:szCs w:val="20"/>
        </w:rPr>
        <w:t>huur</w:t>
      </w:r>
      <w:r w:rsidRPr="008E33DF">
        <w:rPr>
          <w:rFonts w:cs="Helvetica"/>
          <w:szCs w:val="20"/>
        </w:rPr>
        <w:t xml:space="preserve"> duidelijk naar voren kom</w:t>
      </w:r>
      <w:r w:rsidR="004D5C43" w:rsidRPr="008E33DF">
        <w:rPr>
          <w:rFonts w:cs="Helvetica"/>
          <w:szCs w:val="20"/>
        </w:rPr>
        <w:t>t</w:t>
      </w:r>
      <w:r w:rsidR="003B6A17" w:rsidRPr="008E33DF">
        <w:rPr>
          <w:rFonts w:cs="Helvetica"/>
          <w:szCs w:val="20"/>
        </w:rPr>
        <w:t xml:space="preserve">. Ook moet blijken dat beide partijen de bedoeling hebben gehad om een huurovereenkomst aan te gaan van korte duur. </w:t>
      </w:r>
    </w:p>
    <w:p w:rsidR="00A54503" w:rsidRPr="008E33DF" w:rsidRDefault="00A54503" w:rsidP="002D61DF">
      <w:pPr>
        <w:rPr>
          <w:rFonts w:cs="Helvetica"/>
          <w:szCs w:val="20"/>
        </w:rPr>
      </w:pPr>
    </w:p>
    <w:p w:rsidR="00A54503" w:rsidRPr="008E33DF" w:rsidRDefault="00A54503" w:rsidP="002D61DF">
      <w:pPr>
        <w:rPr>
          <w:rFonts w:cs="Helvetica"/>
          <w:szCs w:val="20"/>
        </w:rPr>
      </w:pPr>
      <w:r w:rsidRPr="008E33DF">
        <w:rPr>
          <w:rFonts w:cs="Helvetica"/>
          <w:szCs w:val="20"/>
        </w:rPr>
        <w:t xml:space="preserve">De bedoelingen van partijen kan </w:t>
      </w:r>
      <w:r w:rsidR="003B6A17" w:rsidRPr="008E33DF">
        <w:rPr>
          <w:rFonts w:cs="Helvetica"/>
          <w:szCs w:val="20"/>
        </w:rPr>
        <w:t>ook</w:t>
      </w:r>
      <w:r w:rsidRPr="008E33DF">
        <w:rPr>
          <w:rFonts w:cs="Helvetica"/>
          <w:szCs w:val="20"/>
        </w:rPr>
        <w:t xml:space="preserve"> blijken uit de beoogde verkoop, renovatie of sloop van de woonruimte door de verhuurder. De verhuurder moet </w:t>
      </w:r>
      <w:r w:rsidR="00141D1B" w:rsidRPr="008E33DF">
        <w:rPr>
          <w:rFonts w:cs="Helvetica"/>
          <w:szCs w:val="20"/>
        </w:rPr>
        <w:t>bij het sluiten van de huurovereenkomst wel duidelijk maken aan de huurder, dat de huur uiterlijk eindigt op het moment van bijvoorbeeld het realiseren van de sloop.</w:t>
      </w:r>
    </w:p>
    <w:p w:rsidR="00A54503" w:rsidRPr="008E33DF" w:rsidRDefault="00A54503" w:rsidP="002D61DF">
      <w:pPr>
        <w:rPr>
          <w:rFonts w:cs="Helvetica"/>
          <w:szCs w:val="20"/>
        </w:rPr>
      </w:pPr>
    </w:p>
    <w:p w:rsidR="00A54503" w:rsidRPr="008E33DF" w:rsidRDefault="00A54503" w:rsidP="002D61DF">
      <w:pPr>
        <w:rPr>
          <w:rFonts w:cs="Helvetica"/>
          <w:szCs w:val="20"/>
        </w:rPr>
      </w:pPr>
      <w:r w:rsidRPr="008E33DF">
        <w:rPr>
          <w:rFonts w:cs="Helvetica"/>
          <w:szCs w:val="20"/>
        </w:rPr>
        <w:t xml:space="preserve">Voorts is de bedoeling van partijen af te leiden uit de verklaring van partijen. Tegenstrijdige verklaringen van partijen geeft blijk dat bij het sluiten van de huurovereenkomst de bedoelingen over en weer niet goed is overgekomen. Daarentegen staat dat indien beide partijen erkennen dat zij een tijdelijke huurovereenkomst voor oog hadden bij het </w:t>
      </w:r>
      <w:r w:rsidR="00CA6AFA" w:rsidRPr="008E33DF">
        <w:rPr>
          <w:rFonts w:cs="Helvetica"/>
          <w:szCs w:val="20"/>
        </w:rPr>
        <w:t>sluiten van de huurovereenkomst,</w:t>
      </w:r>
      <w:r w:rsidRPr="008E33DF">
        <w:rPr>
          <w:rFonts w:cs="Helvetica"/>
          <w:szCs w:val="20"/>
        </w:rPr>
        <w:t xml:space="preserve"> het voor de rechter makkelijk te bepalen </w:t>
      </w:r>
      <w:r w:rsidR="00CA6AFA" w:rsidRPr="008E33DF">
        <w:rPr>
          <w:rFonts w:cs="Helvetica"/>
          <w:szCs w:val="20"/>
        </w:rPr>
        <w:t xml:space="preserve">is </w:t>
      </w:r>
      <w:r w:rsidRPr="008E33DF">
        <w:rPr>
          <w:rFonts w:cs="Helvetica"/>
          <w:szCs w:val="20"/>
        </w:rPr>
        <w:t>dat de bedoelingen van partijen duidelijk was.</w:t>
      </w:r>
    </w:p>
    <w:p w:rsidR="00A54503" w:rsidRPr="008E33DF" w:rsidRDefault="00A54503" w:rsidP="002D61DF">
      <w:pPr>
        <w:rPr>
          <w:rFonts w:cs="Helvetica"/>
          <w:szCs w:val="20"/>
        </w:rPr>
      </w:pPr>
    </w:p>
    <w:p w:rsidR="00921E20" w:rsidRPr="008E33DF" w:rsidRDefault="00CA6AFA" w:rsidP="002D61DF">
      <w:pPr>
        <w:rPr>
          <w:rFonts w:cs="Helvetica"/>
          <w:szCs w:val="20"/>
        </w:rPr>
      </w:pPr>
      <w:r w:rsidRPr="008E33DF">
        <w:rPr>
          <w:rFonts w:cs="Helvetica"/>
          <w:szCs w:val="20"/>
        </w:rPr>
        <w:t>In haar</w:t>
      </w:r>
      <w:r w:rsidR="00A54503" w:rsidRPr="008E33DF">
        <w:rPr>
          <w:rFonts w:cs="Helvetica"/>
          <w:szCs w:val="20"/>
        </w:rPr>
        <w:t xml:space="preserve"> algemeenheid valt over de bedoelingen van partijen </w:t>
      </w:r>
      <w:r w:rsidR="00141D1B" w:rsidRPr="008E33DF">
        <w:rPr>
          <w:rFonts w:cs="Helvetica"/>
          <w:szCs w:val="20"/>
        </w:rPr>
        <w:t>het volgende</w:t>
      </w:r>
      <w:r w:rsidR="00A54503" w:rsidRPr="008E33DF">
        <w:rPr>
          <w:rFonts w:cs="Helvetica"/>
          <w:szCs w:val="20"/>
        </w:rPr>
        <w:t xml:space="preserve"> te concluderen. In bijna alle toegewezen uitspraken wordt door de rechter getoetst op de bedoelingen van partijen. </w:t>
      </w:r>
      <w:r w:rsidR="00A61637" w:rsidRPr="008E33DF">
        <w:rPr>
          <w:rFonts w:cs="Helvetica"/>
          <w:szCs w:val="20"/>
        </w:rPr>
        <w:t>Hieruit</w:t>
      </w:r>
      <w:r w:rsidR="00A54503" w:rsidRPr="008E33DF">
        <w:rPr>
          <w:rFonts w:cs="Helvetica"/>
          <w:szCs w:val="20"/>
        </w:rPr>
        <w:t xml:space="preserve"> blijk</w:t>
      </w:r>
      <w:r w:rsidR="00A61637" w:rsidRPr="008E33DF">
        <w:rPr>
          <w:rFonts w:cs="Helvetica"/>
          <w:szCs w:val="20"/>
        </w:rPr>
        <w:t>t</w:t>
      </w:r>
      <w:r w:rsidR="00A54503" w:rsidRPr="008E33DF">
        <w:rPr>
          <w:rFonts w:cs="Helvetica"/>
          <w:szCs w:val="20"/>
        </w:rPr>
        <w:t xml:space="preserve"> dat </w:t>
      </w:r>
      <w:r w:rsidR="00141D1B" w:rsidRPr="008E33DF">
        <w:rPr>
          <w:rFonts w:cs="Helvetica"/>
          <w:szCs w:val="20"/>
        </w:rPr>
        <w:t xml:space="preserve">rechters </w:t>
      </w:r>
      <w:r w:rsidR="00A54503" w:rsidRPr="008E33DF">
        <w:rPr>
          <w:rFonts w:cs="Helvetica"/>
          <w:szCs w:val="20"/>
        </w:rPr>
        <w:t xml:space="preserve">de bedoelingen van partijen belangrijk </w:t>
      </w:r>
      <w:r w:rsidR="00141D1B" w:rsidRPr="008E33DF">
        <w:rPr>
          <w:rFonts w:cs="Helvetica"/>
          <w:szCs w:val="20"/>
        </w:rPr>
        <w:t>van belang achten</w:t>
      </w:r>
      <w:r w:rsidR="00A54503" w:rsidRPr="008E33DF">
        <w:rPr>
          <w:rFonts w:cs="Helvetica"/>
          <w:szCs w:val="20"/>
        </w:rPr>
        <w:t xml:space="preserve"> in hun beoordeling. I</w:t>
      </w:r>
      <w:r w:rsidRPr="008E33DF">
        <w:rPr>
          <w:rFonts w:cs="Helvetica"/>
          <w:szCs w:val="20"/>
        </w:rPr>
        <w:t>n de afgewezen uitspraken</w:t>
      </w:r>
      <w:r w:rsidR="00A54503" w:rsidRPr="008E33DF">
        <w:rPr>
          <w:rFonts w:cs="Helvetica"/>
          <w:szCs w:val="20"/>
        </w:rPr>
        <w:t xml:space="preserve"> is</w:t>
      </w:r>
      <w:r w:rsidRPr="008E33DF">
        <w:rPr>
          <w:rFonts w:cs="Helvetica"/>
          <w:szCs w:val="20"/>
        </w:rPr>
        <w:t xml:space="preserve"> echter</w:t>
      </w:r>
      <w:r w:rsidR="00141D1B" w:rsidRPr="008E33DF">
        <w:rPr>
          <w:rFonts w:cs="Helvetica"/>
          <w:szCs w:val="20"/>
        </w:rPr>
        <w:t xml:space="preserve"> in vijf uitspraken g</w:t>
      </w:r>
      <w:r w:rsidR="00A54503" w:rsidRPr="008E33DF">
        <w:rPr>
          <w:rFonts w:cs="Helvetica"/>
          <w:szCs w:val="20"/>
        </w:rPr>
        <w:t xml:space="preserve">eoordeeld dat </w:t>
      </w:r>
      <w:r w:rsidR="00141D1B" w:rsidRPr="008E33DF">
        <w:rPr>
          <w:rFonts w:cs="Helvetica"/>
          <w:szCs w:val="20"/>
        </w:rPr>
        <w:t>het de bedoeling</w:t>
      </w:r>
      <w:r w:rsidR="00A54503" w:rsidRPr="008E33DF">
        <w:rPr>
          <w:rFonts w:cs="Helvetica"/>
          <w:szCs w:val="20"/>
        </w:rPr>
        <w:t xml:space="preserve"> van partijen was</w:t>
      </w:r>
      <w:r w:rsidR="00141D1B" w:rsidRPr="008E33DF">
        <w:rPr>
          <w:rFonts w:cs="Helvetica"/>
          <w:szCs w:val="20"/>
        </w:rPr>
        <w:t xml:space="preserve"> om</w:t>
      </w:r>
      <w:r w:rsidR="00A54503" w:rsidRPr="008E33DF">
        <w:rPr>
          <w:rFonts w:cs="Helvetica"/>
          <w:szCs w:val="20"/>
        </w:rPr>
        <w:t xml:space="preserve"> een huurovereenkomst te sluiten </w:t>
      </w:r>
      <w:r w:rsidRPr="008E33DF">
        <w:rPr>
          <w:rFonts w:cs="Helvetica"/>
          <w:szCs w:val="20"/>
        </w:rPr>
        <w:t>die</w:t>
      </w:r>
      <w:r w:rsidR="00A54503" w:rsidRPr="008E33DF">
        <w:rPr>
          <w:rFonts w:cs="Helvetica"/>
          <w:szCs w:val="20"/>
        </w:rPr>
        <w:t xml:space="preserve"> naar zijn aard van korte duur is. Het beroep </w:t>
      </w:r>
      <w:r w:rsidR="00921E20" w:rsidRPr="008E33DF">
        <w:rPr>
          <w:rFonts w:cs="Helvetica"/>
          <w:szCs w:val="20"/>
        </w:rPr>
        <w:t xml:space="preserve">op de uitzonderingsbepaling is </w:t>
      </w:r>
      <w:r w:rsidR="00A54503" w:rsidRPr="008E33DF">
        <w:rPr>
          <w:rFonts w:cs="Helvetica"/>
          <w:szCs w:val="20"/>
        </w:rPr>
        <w:t xml:space="preserve">in deze uitspraken echter afgewezen op grond van de toetsing op een van de andere factoren. </w:t>
      </w:r>
      <w:r w:rsidR="00141D1B" w:rsidRPr="008E33DF">
        <w:rPr>
          <w:rFonts w:cs="Helvetica"/>
          <w:szCs w:val="20"/>
        </w:rPr>
        <w:t>Hieru</w:t>
      </w:r>
      <w:r w:rsidR="00A61637" w:rsidRPr="008E33DF">
        <w:rPr>
          <w:rFonts w:cs="Helvetica"/>
          <w:szCs w:val="20"/>
        </w:rPr>
        <w:t>it valt de conclusie te trekken dat de bedoelingen va</w:t>
      </w:r>
      <w:r w:rsidR="00141D1B" w:rsidRPr="008E33DF">
        <w:rPr>
          <w:rFonts w:cs="Helvetica"/>
          <w:szCs w:val="20"/>
        </w:rPr>
        <w:t>n partijen op zich belangrijk zijn</w:t>
      </w:r>
      <w:r w:rsidR="00A61637" w:rsidRPr="008E33DF">
        <w:rPr>
          <w:rFonts w:cs="Helvetica"/>
          <w:szCs w:val="20"/>
        </w:rPr>
        <w:t xml:space="preserve"> voor de beoordeling van de rechter</w:t>
      </w:r>
      <w:r w:rsidR="00141D1B" w:rsidRPr="008E33DF">
        <w:rPr>
          <w:rFonts w:cs="Helvetica"/>
          <w:szCs w:val="20"/>
        </w:rPr>
        <w:t>, maar geen doorslaggevend</w:t>
      </w:r>
      <w:r w:rsidR="00A61637" w:rsidRPr="008E33DF">
        <w:rPr>
          <w:rFonts w:cs="Helvetica"/>
          <w:szCs w:val="20"/>
        </w:rPr>
        <w:t xml:space="preserve"> karakter he</w:t>
      </w:r>
      <w:r w:rsidR="00141D1B" w:rsidRPr="008E33DF">
        <w:rPr>
          <w:rFonts w:cs="Helvetica"/>
          <w:szCs w:val="20"/>
        </w:rPr>
        <w:t>bben</w:t>
      </w:r>
      <w:r w:rsidR="00A61637" w:rsidRPr="008E33DF">
        <w:rPr>
          <w:rFonts w:cs="Helvetica"/>
          <w:szCs w:val="20"/>
        </w:rPr>
        <w:t xml:space="preserve"> ten opzichte van andere beoordelingsfactoren.</w:t>
      </w:r>
    </w:p>
    <w:p w:rsidR="002D61DF" w:rsidRPr="008E33DF" w:rsidRDefault="002D61DF" w:rsidP="002D61DF">
      <w:pPr>
        <w:rPr>
          <w:rFonts w:cs="Helvetica"/>
          <w:szCs w:val="20"/>
        </w:rPr>
      </w:pPr>
    </w:p>
    <w:p w:rsidR="002D61DF" w:rsidRPr="008E33DF" w:rsidRDefault="002D61DF" w:rsidP="002D61DF">
      <w:pPr>
        <w:rPr>
          <w:rFonts w:cs="Helvetica"/>
          <w:szCs w:val="20"/>
        </w:rPr>
      </w:pPr>
      <w:r w:rsidRPr="008E33DF">
        <w:rPr>
          <w:rFonts w:cs="Helvetica"/>
          <w:szCs w:val="20"/>
        </w:rPr>
        <w:t xml:space="preserve">Wat betreft </w:t>
      </w:r>
      <w:r w:rsidR="00650A48" w:rsidRPr="008E33DF">
        <w:rPr>
          <w:rFonts w:cs="Helvetica"/>
          <w:szCs w:val="20"/>
        </w:rPr>
        <w:t xml:space="preserve">de toetsing op </w:t>
      </w:r>
      <w:r w:rsidRPr="008E33DF">
        <w:rPr>
          <w:rFonts w:cs="Helvetica"/>
          <w:b/>
          <w:szCs w:val="20"/>
        </w:rPr>
        <w:t>de duur van het gebruik</w:t>
      </w:r>
      <w:r w:rsidRPr="008E33DF">
        <w:rPr>
          <w:rFonts w:cs="Helvetica"/>
          <w:szCs w:val="20"/>
        </w:rPr>
        <w:t xml:space="preserve"> is gebleken dat de rechter vooral aan</w:t>
      </w:r>
      <w:r w:rsidR="003B6A17" w:rsidRPr="008E33DF">
        <w:rPr>
          <w:rFonts w:cs="Helvetica"/>
          <w:szCs w:val="20"/>
        </w:rPr>
        <w:t xml:space="preserve">dacht heeft voor de verlenging </w:t>
      </w:r>
      <w:r w:rsidRPr="008E33DF">
        <w:rPr>
          <w:rFonts w:cs="Helvetica"/>
          <w:szCs w:val="20"/>
        </w:rPr>
        <w:t xml:space="preserve">van de huurovereenkomst. </w:t>
      </w:r>
      <w:r w:rsidR="003B6A17" w:rsidRPr="008E33DF">
        <w:rPr>
          <w:rFonts w:cs="Helvetica"/>
          <w:szCs w:val="20"/>
        </w:rPr>
        <w:t xml:space="preserve">Hierbij verdient vooral de stilzwijgende verlenging de aandacht. </w:t>
      </w:r>
      <w:r w:rsidR="000719A7" w:rsidRPr="008E33DF">
        <w:rPr>
          <w:rFonts w:cs="Helvetica"/>
          <w:szCs w:val="20"/>
        </w:rPr>
        <w:t xml:space="preserve">Een huurovereenkomst die stilzwijgend verlengd wordt, wordt verlengd voor onbepaalde tijd. Deze verlenging zorgt er voor dat de huurovereenkomst zijn tijdelijke karakter verliest. </w:t>
      </w:r>
      <w:r w:rsidR="00CA6AFA" w:rsidRPr="008E33DF">
        <w:rPr>
          <w:rFonts w:cs="Helvetica"/>
          <w:szCs w:val="20"/>
        </w:rPr>
        <w:t>Een zeer vergaand</w:t>
      </w:r>
      <w:r w:rsidRPr="008E33DF">
        <w:rPr>
          <w:rFonts w:cs="Helvetica"/>
          <w:szCs w:val="20"/>
        </w:rPr>
        <w:t xml:space="preserve"> voorbeeld is hierbij dat de huur van een recreatiewoning wordt gek</w:t>
      </w:r>
      <w:r w:rsidR="00650A48" w:rsidRPr="008E33DF">
        <w:rPr>
          <w:rFonts w:cs="Helvetica"/>
          <w:szCs w:val="20"/>
        </w:rPr>
        <w:t>walificeerd</w:t>
      </w:r>
      <w:r w:rsidRPr="008E33DF">
        <w:rPr>
          <w:rFonts w:cs="Helvetica"/>
          <w:szCs w:val="20"/>
        </w:rPr>
        <w:t xml:space="preserve"> als reguliere huur </w:t>
      </w:r>
      <w:r w:rsidR="00650A48" w:rsidRPr="008E33DF">
        <w:rPr>
          <w:rFonts w:cs="Helvetica"/>
          <w:szCs w:val="20"/>
        </w:rPr>
        <w:t>door</w:t>
      </w:r>
      <w:r w:rsidRPr="008E33DF">
        <w:rPr>
          <w:rFonts w:cs="Helvetica"/>
          <w:szCs w:val="20"/>
        </w:rPr>
        <w:t xml:space="preserve"> de stilzwijgende verlenging voor onbepaalde tijd.</w:t>
      </w:r>
      <w:r w:rsidR="00767285" w:rsidRPr="008E33DF">
        <w:rPr>
          <w:rFonts w:cs="Helvetica"/>
          <w:szCs w:val="20"/>
        </w:rPr>
        <w:t xml:space="preserve"> De recreatie woning wordt in de parlementaire geschiedenis als voorbeeld gegeven dat deze in ieder geval onder de reikwijdte van de uitzonderingsbepaling valt.</w:t>
      </w:r>
      <w:r w:rsidRPr="008E33DF">
        <w:rPr>
          <w:rFonts w:cs="Helvetica"/>
          <w:szCs w:val="20"/>
        </w:rPr>
        <w:t xml:space="preserve"> Hieruit blijkt dat de verlenging van woonruimte zeer doorslaggevende omstandigheid is bij de beoordeling van de rechter.</w:t>
      </w:r>
    </w:p>
    <w:p w:rsidR="002D61DF" w:rsidRPr="008E33DF" w:rsidRDefault="002D61DF" w:rsidP="002D61DF">
      <w:pPr>
        <w:rPr>
          <w:rFonts w:cs="Helvetica"/>
          <w:szCs w:val="20"/>
        </w:rPr>
      </w:pPr>
    </w:p>
    <w:p w:rsidR="002D61DF" w:rsidRPr="008E33DF" w:rsidRDefault="002D61DF" w:rsidP="002D61DF">
      <w:pPr>
        <w:rPr>
          <w:rFonts w:cs="Helvetica"/>
          <w:szCs w:val="20"/>
        </w:rPr>
      </w:pPr>
      <w:r w:rsidRPr="008E33DF">
        <w:rPr>
          <w:rFonts w:cs="Helvetica"/>
          <w:szCs w:val="20"/>
        </w:rPr>
        <w:lastRenderedPageBreak/>
        <w:t xml:space="preserve">Voorts </w:t>
      </w:r>
      <w:r w:rsidR="00650A48" w:rsidRPr="008E33DF">
        <w:rPr>
          <w:rFonts w:cs="Helvetica"/>
          <w:szCs w:val="20"/>
        </w:rPr>
        <w:t>acht</w:t>
      </w:r>
      <w:r w:rsidR="00141D1B" w:rsidRPr="008E33DF">
        <w:rPr>
          <w:rFonts w:cs="Helvetica"/>
          <w:szCs w:val="20"/>
        </w:rPr>
        <w:t>en</w:t>
      </w:r>
      <w:r w:rsidR="00650A48" w:rsidRPr="008E33DF">
        <w:rPr>
          <w:rFonts w:cs="Helvetica"/>
          <w:szCs w:val="20"/>
        </w:rPr>
        <w:t xml:space="preserve"> de rechter</w:t>
      </w:r>
      <w:r w:rsidR="00141D1B" w:rsidRPr="008E33DF">
        <w:rPr>
          <w:rFonts w:cs="Helvetica"/>
          <w:szCs w:val="20"/>
        </w:rPr>
        <w:t>s</w:t>
      </w:r>
      <w:r w:rsidR="00650A48" w:rsidRPr="008E33DF">
        <w:rPr>
          <w:rFonts w:cs="Helvetica"/>
          <w:szCs w:val="20"/>
        </w:rPr>
        <w:t xml:space="preserve"> belangrijk dat </w:t>
      </w:r>
      <w:r w:rsidRPr="008E33DF">
        <w:rPr>
          <w:rFonts w:cs="Helvetica"/>
          <w:szCs w:val="20"/>
        </w:rPr>
        <w:t xml:space="preserve">er duidelijkheid moet zijn over de periode en de einddatum van de huurovereenkomst. </w:t>
      </w:r>
      <w:r w:rsidR="003211F0" w:rsidRPr="008E33DF">
        <w:rPr>
          <w:rFonts w:cs="Helvetica"/>
          <w:szCs w:val="20"/>
        </w:rPr>
        <w:t>Indien dit het geval is,</w:t>
      </w:r>
      <w:r w:rsidRPr="008E33DF">
        <w:rPr>
          <w:rFonts w:cs="Helvetica"/>
          <w:szCs w:val="20"/>
        </w:rPr>
        <w:t xml:space="preserve"> kan de rechter oordelen dat de huurovereenkomst</w:t>
      </w:r>
      <w:r w:rsidR="00141D1B" w:rsidRPr="008E33DF">
        <w:rPr>
          <w:rFonts w:cs="Helvetica"/>
          <w:szCs w:val="20"/>
        </w:rPr>
        <w:t xml:space="preserve"> naar zijn aard</w:t>
      </w:r>
      <w:r w:rsidRPr="008E33DF">
        <w:rPr>
          <w:rFonts w:cs="Helvetica"/>
          <w:szCs w:val="20"/>
        </w:rPr>
        <w:t xml:space="preserve"> niet van korte aard is. Het bedingen van een bepaalde periode is echte</w:t>
      </w:r>
      <w:r w:rsidR="00141D1B" w:rsidRPr="008E33DF">
        <w:rPr>
          <w:rFonts w:cs="Helvetica"/>
          <w:szCs w:val="20"/>
        </w:rPr>
        <w:t>r op zichzelf onvoldoende om</w:t>
      </w:r>
      <w:r w:rsidRPr="008E33DF">
        <w:rPr>
          <w:rFonts w:cs="Helvetica"/>
          <w:szCs w:val="20"/>
        </w:rPr>
        <w:t xml:space="preserve"> beroep op de uitzonderingsgrond te doen slagen.</w:t>
      </w:r>
    </w:p>
    <w:p w:rsidR="00A61637" w:rsidRPr="008E33DF" w:rsidRDefault="00A61637" w:rsidP="002D61DF">
      <w:pPr>
        <w:rPr>
          <w:rFonts w:cs="Helvetica"/>
          <w:szCs w:val="20"/>
        </w:rPr>
      </w:pPr>
    </w:p>
    <w:p w:rsidR="002D61DF" w:rsidRPr="008E33DF" w:rsidRDefault="00650A48" w:rsidP="00650A48">
      <w:pPr>
        <w:rPr>
          <w:rFonts w:cs="Helvetica"/>
          <w:szCs w:val="20"/>
        </w:rPr>
      </w:pPr>
      <w:r w:rsidRPr="008E33DF">
        <w:rPr>
          <w:rFonts w:cs="Helvetica"/>
          <w:szCs w:val="20"/>
        </w:rPr>
        <w:t>Ten slotte blijkt dat de rechter bij de toetsing op de duur van het gebruik de werkelijke duur van de huurovereenkomst niet zwaar laat meewegen. Indien</w:t>
      </w:r>
      <w:r w:rsidR="002D61DF" w:rsidRPr="008E33DF">
        <w:rPr>
          <w:rFonts w:cs="Helvetica"/>
          <w:szCs w:val="20"/>
        </w:rPr>
        <w:t xml:space="preserve"> op grond van de toetsing op de beoordelingsfactoren ande</w:t>
      </w:r>
      <w:r w:rsidRPr="008E33DF">
        <w:rPr>
          <w:rFonts w:cs="Helvetica"/>
          <w:szCs w:val="20"/>
        </w:rPr>
        <w:t>rs dan de duur van het gebruik</w:t>
      </w:r>
      <w:r w:rsidR="003211F0" w:rsidRPr="008E33DF">
        <w:rPr>
          <w:rFonts w:cs="Helvetica"/>
          <w:szCs w:val="20"/>
        </w:rPr>
        <w:t xml:space="preserve"> </w:t>
      </w:r>
      <w:r w:rsidR="002D61DF" w:rsidRPr="008E33DF">
        <w:rPr>
          <w:rFonts w:cs="Helvetica"/>
          <w:szCs w:val="20"/>
        </w:rPr>
        <w:t>aanleiding bestaat om de huurovereenkomst te kwalifice</w:t>
      </w:r>
      <w:r w:rsidR="00000A73" w:rsidRPr="008E33DF">
        <w:rPr>
          <w:rFonts w:cs="Helvetica"/>
          <w:szCs w:val="20"/>
        </w:rPr>
        <w:t>ren als een huurovereenkomst die</w:t>
      </w:r>
      <w:r w:rsidR="002D61DF" w:rsidRPr="008E33DF">
        <w:rPr>
          <w:rFonts w:cs="Helvetica"/>
          <w:szCs w:val="20"/>
        </w:rPr>
        <w:t xml:space="preserve"> naar zijn aard van korte duur is,</w:t>
      </w:r>
      <w:r w:rsidRPr="008E33DF">
        <w:rPr>
          <w:rFonts w:cs="Helvetica"/>
          <w:szCs w:val="20"/>
        </w:rPr>
        <w:t xml:space="preserve"> oordeelt</w:t>
      </w:r>
      <w:r w:rsidR="002D61DF" w:rsidRPr="008E33DF">
        <w:rPr>
          <w:rFonts w:cs="Helvetica"/>
          <w:szCs w:val="20"/>
        </w:rPr>
        <w:t xml:space="preserve"> de rechter in vele gevallen dat de werkelijk duur niet af doet aan </w:t>
      </w:r>
      <w:r w:rsidRPr="008E33DF">
        <w:rPr>
          <w:rFonts w:cs="Helvetica"/>
          <w:szCs w:val="20"/>
        </w:rPr>
        <w:t>zijn beslissing</w:t>
      </w:r>
      <w:r w:rsidR="002D61DF" w:rsidRPr="008E33DF">
        <w:rPr>
          <w:rFonts w:cs="Helvetica"/>
          <w:szCs w:val="20"/>
        </w:rPr>
        <w:t>.</w:t>
      </w:r>
    </w:p>
    <w:p w:rsidR="0049365E" w:rsidRPr="008E33DF" w:rsidRDefault="0049365E" w:rsidP="002D61DF">
      <w:pPr>
        <w:rPr>
          <w:rFonts w:cs="Helvetica"/>
          <w:szCs w:val="20"/>
        </w:rPr>
      </w:pPr>
    </w:p>
    <w:p w:rsidR="00A4441B" w:rsidRPr="008E33DF" w:rsidRDefault="00A4441B" w:rsidP="002D61DF">
      <w:pPr>
        <w:rPr>
          <w:rFonts w:cs="Helvetica"/>
          <w:szCs w:val="20"/>
        </w:rPr>
      </w:pPr>
      <w:r w:rsidRPr="008E33DF">
        <w:rPr>
          <w:rFonts w:cs="Helvetica"/>
          <w:szCs w:val="20"/>
        </w:rPr>
        <w:t xml:space="preserve">Over haar algemeenheid valt te zeggen dat </w:t>
      </w:r>
      <w:r w:rsidR="000719A7" w:rsidRPr="008E33DF">
        <w:rPr>
          <w:rFonts w:cs="Helvetica"/>
          <w:szCs w:val="20"/>
        </w:rPr>
        <w:t>de aard van het gehuurde vooral</w:t>
      </w:r>
      <w:r w:rsidR="00B11E60" w:rsidRPr="008E33DF">
        <w:rPr>
          <w:rFonts w:cs="Helvetica"/>
          <w:szCs w:val="20"/>
        </w:rPr>
        <w:t xml:space="preserve"> een aanwijzing is voor de</w:t>
      </w:r>
      <w:r w:rsidR="000719A7" w:rsidRPr="008E33DF">
        <w:rPr>
          <w:rFonts w:cs="Helvetica"/>
          <w:szCs w:val="20"/>
        </w:rPr>
        <w:t xml:space="preserve"> </w:t>
      </w:r>
      <w:r w:rsidR="00B11E60" w:rsidRPr="008E33DF">
        <w:rPr>
          <w:rFonts w:cs="Helvetica"/>
          <w:szCs w:val="20"/>
        </w:rPr>
        <w:t>aard van het gebruik</w:t>
      </w:r>
      <w:r w:rsidR="002B765C" w:rsidRPr="008E33DF">
        <w:rPr>
          <w:rFonts w:cs="Helvetica"/>
          <w:szCs w:val="20"/>
        </w:rPr>
        <w:t>. Zo is bijvoorbeeld bij een woning die op de nominatie staat voor sloop (aard van het gehuurde) de beschikbaarheid beperkt in duur (aard van het gebruik). Hierbij is het belangrijk dat de tijdelijke karakter duidelijk blijkt uit de huurovereenkomst (bedoelingen van partijen). De werkelijke duur van de huurovereenkomst is van minder belang. De verhuurder dient we</w:t>
      </w:r>
      <w:r w:rsidR="00B11E60" w:rsidRPr="008E33DF">
        <w:rPr>
          <w:rFonts w:cs="Helvetica"/>
          <w:szCs w:val="20"/>
        </w:rPr>
        <w:t>l</w:t>
      </w:r>
      <w:r w:rsidR="002B765C" w:rsidRPr="008E33DF">
        <w:rPr>
          <w:rFonts w:cs="Helvetica"/>
          <w:szCs w:val="20"/>
        </w:rPr>
        <w:t xml:space="preserve"> op te letten dat de huurovereenkomst niet stilzwijgend wordt verlengd (duur van het gebruik).</w:t>
      </w:r>
    </w:p>
    <w:p w:rsidR="00A4441B" w:rsidRPr="008E33DF" w:rsidRDefault="00A4441B" w:rsidP="002D61DF">
      <w:pPr>
        <w:rPr>
          <w:rFonts w:cs="Helvetica"/>
          <w:szCs w:val="20"/>
        </w:rPr>
      </w:pPr>
    </w:p>
    <w:p w:rsidR="002D61DF" w:rsidRPr="008E33DF" w:rsidRDefault="00953178" w:rsidP="00040133">
      <w:pPr>
        <w:rPr>
          <w:rFonts w:cs="Helvetica"/>
          <w:szCs w:val="20"/>
        </w:rPr>
      </w:pPr>
      <w:r w:rsidRPr="008E33DF">
        <w:rPr>
          <w:rFonts w:cs="Helvetica"/>
          <w:szCs w:val="20"/>
        </w:rPr>
        <w:t>Het doel van deze scriptie was om Onze Advocaten inzicht te geven in de feiten en omstandigheden die doorslaggevend zijn voor de rechter bij de toetsing op de beoordelingsfactoren</w:t>
      </w:r>
      <w:r w:rsidR="00122BFA" w:rsidRPr="008E33DF">
        <w:rPr>
          <w:rFonts w:cs="Helvetica"/>
          <w:szCs w:val="20"/>
        </w:rPr>
        <w:t>. Met deze conclusie is deze doelstelling behaald. Als eindproduct heb ik een handleid</w:t>
      </w:r>
      <w:r w:rsidR="00192D2A" w:rsidRPr="008E33DF">
        <w:rPr>
          <w:rFonts w:cs="Helvetica"/>
          <w:szCs w:val="20"/>
        </w:rPr>
        <w:t>ing gemaakt voor Onze Advocaten</w:t>
      </w:r>
      <w:r w:rsidR="00785D22" w:rsidRPr="008E33DF">
        <w:rPr>
          <w:rFonts w:cs="Helvetica"/>
          <w:szCs w:val="20"/>
        </w:rPr>
        <w:t>. De handleiding bevat de feiten en omstandigheden die doorslaggevend zijn bij de toetsing van de rechter aan de beoordelingsfactoren, waar Onze Advocaten rekening mee moet houden bij het adviseren van de cliënt over de huurovereenkomst die naar zijn aard van korte duur is.</w:t>
      </w:r>
      <w:r w:rsidR="00122BFA" w:rsidRPr="008E33DF">
        <w:rPr>
          <w:rFonts w:cs="Helvetica"/>
          <w:szCs w:val="20"/>
        </w:rPr>
        <w:t xml:space="preserve"> Deze handleiding is toegevoegd aan deze scriptie in </w:t>
      </w:r>
      <w:r w:rsidR="00384C0C">
        <w:rPr>
          <w:rFonts w:cs="Helvetica"/>
          <w:szCs w:val="20"/>
        </w:rPr>
        <w:t>b</w:t>
      </w:r>
      <w:r w:rsidR="00977C0B" w:rsidRPr="008E33DF">
        <w:rPr>
          <w:rFonts w:cs="Helvetica"/>
          <w:szCs w:val="20"/>
        </w:rPr>
        <w:t>ijlage 11</w:t>
      </w:r>
      <w:r w:rsidR="00122BFA" w:rsidRPr="008E33DF">
        <w:rPr>
          <w:rFonts w:cs="Helvetica"/>
          <w:szCs w:val="20"/>
        </w:rPr>
        <w:t>.</w:t>
      </w:r>
    </w:p>
    <w:p w:rsidR="00122BFA" w:rsidRPr="008E33DF" w:rsidRDefault="00122BFA"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616AA9" w:rsidP="00040133">
      <w:pPr>
        <w:rPr>
          <w:rFonts w:cs="Helvetica"/>
          <w:szCs w:val="20"/>
        </w:rPr>
      </w:pPr>
    </w:p>
    <w:p w:rsidR="00616AA9" w:rsidRPr="008E33DF" w:rsidRDefault="00785D22" w:rsidP="00616AA9">
      <w:pPr>
        <w:pStyle w:val="Kop1"/>
      </w:pPr>
      <w:bookmarkStart w:id="57" w:name="_Toc454253685"/>
      <w:r w:rsidRPr="008E33DF">
        <w:lastRenderedPageBreak/>
        <w:t>Bronne</w:t>
      </w:r>
      <w:r w:rsidR="00616AA9" w:rsidRPr="008E33DF">
        <w:t>nlijst</w:t>
      </w:r>
      <w:bookmarkEnd w:id="57"/>
    </w:p>
    <w:p w:rsidR="00616AA9" w:rsidRPr="008E33DF" w:rsidRDefault="00616AA9" w:rsidP="00616AA9">
      <w:pPr>
        <w:rPr>
          <w:szCs w:val="20"/>
        </w:rPr>
      </w:pPr>
    </w:p>
    <w:p w:rsidR="00616AA9" w:rsidRPr="008E33DF" w:rsidRDefault="00616AA9" w:rsidP="00616AA9">
      <w:pPr>
        <w:rPr>
          <w:b/>
          <w:color w:val="548DD4" w:themeColor="text2" w:themeTint="99"/>
          <w:sz w:val="22"/>
        </w:rPr>
      </w:pPr>
      <w:r w:rsidRPr="008E33DF">
        <w:rPr>
          <w:b/>
          <w:color w:val="548DD4" w:themeColor="text2" w:themeTint="99"/>
          <w:sz w:val="22"/>
        </w:rPr>
        <w:t>Vakliteratuur</w:t>
      </w:r>
    </w:p>
    <w:p w:rsidR="00616AA9" w:rsidRPr="008E33DF" w:rsidRDefault="00616AA9" w:rsidP="00616AA9">
      <w:pPr>
        <w:rPr>
          <w:b/>
          <w:szCs w:val="20"/>
        </w:rPr>
      </w:pPr>
    </w:p>
    <w:p w:rsidR="00616AA9" w:rsidRPr="008E33DF" w:rsidRDefault="00616AA9" w:rsidP="00616AA9">
      <w:pPr>
        <w:rPr>
          <w:b/>
          <w:szCs w:val="20"/>
        </w:rPr>
      </w:pPr>
      <w:r w:rsidRPr="008E33DF">
        <w:rPr>
          <w:b/>
          <w:szCs w:val="20"/>
        </w:rPr>
        <w:t>Sengers 2015</w:t>
      </w:r>
    </w:p>
    <w:p w:rsidR="00616AA9" w:rsidRPr="008E33DF" w:rsidRDefault="00616AA9" w:rsidP="00616AA9">
      <w:pPr>
        <w:rPr>
          <w:szCs w:val="20"/>
        </w:rPr>
      </w:pPr>
      <w:r w:rsidRPr="008E33DF">
        <w:rPr>
          <w:szCs w:val="20"/>
        </w:rPr>
        <w:t xml:space="preserve">J. Sengers &amp; P. van der Sanden, </w:t>
      </w:r>
      <w:r w:rsidRPr="008E33DF">
        <w:rPr>
          <w:i/>
          <w:szCs w:val="20"/>
        </w:rPr>
        <w:t>Huurrecht woonruimte</w:t>
      </w:r>
      <w:r w:rsidRPr="008E33DF">
        <w:rPr>
          <w:szCs w:val="20"/>
        </w:rPr>
        <w:t>, Den Haag, Sdu Uitgevers 1990.</w:t>
      </w:r>
    </w:p>
    <w:p w:rsidR="00616AA9" w:rsidRPr="008E33DF" w:rsidRDefault="00616AA9" w:rsidP="00616AA9">
      <w:pPr>
        <w:rPr>
          <w:szCs w:val="20"/>
        </w:rPr>
      </w:pPr>
    </w:p>
    <w:p w:rsidR="00785D22" w:rsidRPr="008E33DF" w:rsidRDefault="00785D22" w:rsidP="00616AA9">
      <w:pPr>
        <w:rPr>
          <w:b/>
          <w:szCs w:val="20"/>
        </w:rPr>
      </w:pPr>
      <w:r w:rsidRPr="008E33DF">
        <w:rPr>
          <w:b/>
          <w:szCs w:val="20"/>
        </w:rPr>
        <w:t>Kloosterman 2014</w:t>
      </w:r>
    </w:p>
    <w:p w:rsidR="00616AA9" w:rsidRPr="008E33DF" w:rsidRDefault="00616AA9" w:rsidP="00616AA9">
      <w:pPr>
        <w:rPr>
          <w:szCs w:val="20"/>
        </w:rPr>
      </w:pPr>
      <w:r w:rsidRPr="008E33DF">
        <w:rPr>
          <w:szCs w:val="20"/>
        </w:rPr>
        <w:t>A.M. Kloosterman e.a.,</w:t>
      </w:r>
      <w:r w:rsidRPr="008E33DF">
        <w:rPr>
          <w:i/>
          <w:szCs w:val="20"/>
        </w:rPr>
        <w:t>Hoofdlijlen in het huurrecht</w:t>
      </w:r>
      <w:r w:rsidRPr="008E33DF">
        <w:rPr>
          <w:szCs w:val="20"/>
        </w:rPr>
        <w:t>, Deventer, Wolters Kluwer 2014.</w:t>
      </w:r>
    </w:p>
    <w:p w:rsidR="00616AA9" w:rsidRPr="008E33DF" w:rsidRDefault="00616AA9" w:rsidP="00616AA9">
      <w:pPr>
        <w:rPr>
          <w:szCs w:val="20"/>
        </w:rPr>
      </w:pPr>
    </w:p>
    <w:p w:rsidR="00616AA9" w:rsidRPr="008E33DF" w:rsidRDefault="00616AA9" w:rsidP="00616AA9">
      <w:pPr>
        <w:rPr>
          <w:b/>
          <w:szCs w:val="20"/>
        </w:rPr>
      </w:pPr>
      <w:r w:rsidRPr="008E33DF">
        <w:rPr>
          <w:b/>
        </w:rPr>
        <w:t>T&amp;C Burgerlijk Wetboek 2015</w:t>
      </w:r>
    </w:p>
    <w:p w:rsidR="00616AA9" w:rsidRPr="008E33DF" w:rsidRDefault="00616AA9" w:rsidP="00616AA9">
      <w:pPr>
        <w:rPr>
          <w:szCs w:val="20"/>
        </w:rPr>
      </w:pPr>
      <w:r w:rsidRPr="008E33DF">
        <w:rPr>
          <w:szCs w:val="20"/>
        </w:rPr>
        <w:t xml:space="preserve">H. Nieuwenhuis &amp; L. Valk, </w:t>
      </w:r>
      <w:r w:rsidRPr="008E33DF">
        <w:rPr>
          <w:i/>
          <w:szCs w:val="20"/>
        </w:rPr>
        <w:t xml:space="preserve">Tekst &amp; Commentaar: Burgerlijk Wetboek, Deventer, </w:t>
      </w:r>
      <w:r w:rsidRPr="008E33DF">
        <w:rPr>
          <w:szCs w:val="20"/>
        </w:rPr>
        <w:t>Wolters Kluwer 2015</w:t>
      </w:r>
      <w:r w:rsidR="00617FC0">
        <w:rPr>
          <w:szCs w:val="20"/>
        </w:rPr>
        <w:t xml:space="preserve"> </w:t>
      </w:r>
      <w:r w:rsidRPr="008E33DF">
        <w:rPr>
          <w:szCs w:val="20"/>
        </w:rPr>
        <w:t>(online).</w:t>
      </w:r>
    </w:p>
    <w:p w:rsidR="00616AA9" w:rsidRPr="008E33DF" w:rsidRDefault="00616AA9" w:rsidP="00616AA9">
      <w:pPr>
        <w:rPr>
          <w:b/>
          <w:color w:val="548DD4" w:themeColor="text2" w:themeTint="99"/>
          <w:sz w:val="22"/>
        </w:rPr>
      </w:pPr>
      <w:r w:rsidRPr="008E33DF">
        <w:rPr>
          <w:szCs w:val="20"/>
        </w:rPr>
        <w:br/>
      </w:r>
      <w:r w:rsidRPr="008E33DF">
        <w:rPr>
          <w:b/>
          <w:color w:val="548DD4" w:themeColor="text2" w:themeTint="99"/>
          <w:sz w:val="22"/>
        </w:rPr>
        <w:t>Parlementaire stukken</w:t>
      </w:r>
    </w:p>
    <w:p w:rsidR="00616AA9" w:rsidRPr="008E33DF" w:rsidRDefault="00616AA9" w:rsidP="00616AA9">
      <w:pPr>
        <w:rPr>
          <w:szCs w:val="20"/>
        </w:rPr>
      </w:pPr>
    </w:p>
    <w:p w:rsidR="00616AA9" w:rsidRPr="008E33DF" w:rsidRDefault="00616AA9" w:rsidP="00616AA9">
      <w:pPr>
        <w:rPr>
          <w:iCs/>
          <w:szCs w:val="20"/>
        </w:rPr>
      </w:pPr>
      <w:r w:rsidRPr="008E33DF">
        <w:rPr>
          <w:iCs/>
          <w:szCs w:val="20"/>
        </w:rPr>
        <w:t>Kamerstukken II 1969/70, 10451, 3, p. 5</w:t>
      </w:r>
    </w:p>
    <w:p w:rsidR="00616AA9" w:rsidRPr="008E33DF" w:rsidRDefault="00616AA9" w:rsidP="00616AA9">
      <w:pPr>
        <w:rPr>
          <w:iCs/>
          <w:szCs w:val="20"/>
        </w:rPr>
      </w:pPr>
    </w:p>
    <w:p w:rsidR="00616AA9" w:rsidRPr="008E33DF" w:rsidRDefault="00616AA9" w:rsidP="00616AA9">
      <w:pPr>
        <w:rPr>
          <w:szCs w:val="20"/>
        </w:rPr>
      </w:pPr>
      <w:r w:rsidRPr="008E33DF">
        <w:rPr>
          <w:szCs w:val="20"/>
        </w:rPr>
        <w:t>Handelingen II 1978/79, 14175, p. 5026</w:t>
      </w:r>
    </w:p>
    <w:p w:rsidR="00616AA9" w:rsidRPr="008E33DF" w:rsidRDefault="00616AA9" w:rsidP="00616AA9">
      <w:pPr>
        <w:rPr>
          <w:szCs w:val="20"/>
        </w:rPr>
      </w:pPr>
    </w:p>
    <w:p w:rsidR="00616AA9" w:rsidRPr="008E33DF" w:rsidRDefault="00616AA9" w:rsidP="00616AA9">
      <w:pPr>
        <w:rPr>
          <w:iCs/>
          <w:szCs w:val="20"/>
        </w:rPr>
      </w:pPr>
      <w:r w:rsidRPr="008E33DF">
        <w:rPr>
          <w:iCs/>
          <w:szCs w:val="20"/>
        </w:rPr>
        <w:t>Kamerstukken II 1997/98, 26089, nr. 3, p. 38</w:t>
      </w:r>
    </w:p>
    <w:p w:rsidR="00616AA9" w:rsidRPr="008E33DF" w:rsidRDefault="00616AA9" w:rsidP="00616AA9">
      <w:pPr>
        <w:rPr>
          <w:iCs/>
          <w:szCs w:val="20"/>
        </w:rPr>
      </w:pPr>
    </w:p>
    <w:p w:rsidR="00616AA9" w:rsidRPr="008E33DF" w:rsidRDefault="00616AA9" w:rsidP="00616AA9">
      <w:pPr>
        <w:rPr>
          <w:szCs w:val="20"/>
        </w:rPr>
      </w:pPr>
      <w:r w:rsidRPr="008E33DF">
        <w:rPr>
          <w:iCs/>
          <w:szCs w:val="20"/>
        </w:rPr>
        <w:t>Kamerstukken II 1997/98, 26089, nr. 3, p. 38</w:t>
      </w:r>
    </w:p>
    <w:p w:rsidR="00616AA9" w:rsidRPr="008E33DF" w:rsidRDefault="00616AA9" w:rsidP="00616AA9">
      <w:pPr>
        <w:rPr>
          <w:szCs w:val="20"/>
        </w:rPr>
      </w:pPr>
    </w:p>
    <w:p w:rsidR="00616AA9" w:rsidRPr="008E33DF" w:rsidRDefault="00616AA9" w:rsidP="00616AA9">
      <w:pPr>
        <w:rPr>
          <w:b/>
          <w:color w:val="548DD4" w:themeColor="text2" w:themeTint="99"/>
          <w:sz w:val="22"/>
        </w:rPr>
      </w:pPr>
      <w:r w:rsidRPr="008E33DF">
        <w:rPr>
          <w:b/>
          <w:color w:val="548DD4" w:themeColor="text2" w:themeTint="99"/>
          <w:sz w:val="22"/>
        </w:rPr>
        <w:t>Jurisprudentie</w:t>
      </w:r>
    </w:p>
    <w:p w:rsidR="00616AA9" w:rsidRPr="008E33DF" w:rsidRDefault="00616AA9" w:rsidP="00616AA9">
      <w:pPr>
        <w:rPr>
          <w:szCs w:val="20"/>
        </w:rPr>
      </w:pPr>
    </w:p>
    <w:p w:rsidR="00785D22" w:rsidRPr="008E33DF" w:rsidRDefault="00785D22" w:rsidP="00785D22">
      <w:pPr>
        <w:rPr>
          <w:szCs w:val="20"/>
        </w:rPr>
      </w:pPr>
      <w:r w:rsidRPr="008E33DF">
        <w:rPr>
          <w:szCs w:val="20"/>
        </w:rPr>
        <w:t xml:space="preserve">HR 26 juni 1953, </w:t>
      </w:r>
      <w:r w:rsidRPr="008E33DF">
        <w:rPr>
          <w:i/>
          <w:szCs w:val="20"/>
        </w:rPr>
        <w:t xml:space="preserve">NJ </w:t>
      </w:r>
      <w:r w:rsidRPr="008E33DF">
        <w:rPr>
          <w:szCs w:val="20"/>
        </w:rPr>
        <w:t>1953/634: gebruik filmzaal voor enige avonden per week – prijs 15% van recette – is huur.</w:t>
      </w:r>
    </w:p>
    <w:p w:rsidR="00785D22" w:rsidRPr="008E33DF" w:rsidRDefault="00785D22" w:rsidP="00785D22">
      <w:pPr>
        <w:rPr>
          <w:szCs w:val="20"/>
        </w:rPr>
      </w:pPr>
    </w:p>
    <w:p w:rsidR="00785D22" w:rsidRPr="008E33DF" w:rsidRDefault="00785D22" w:rsidP="00785D22">
      <w:pPr>
        <w:rPr>
          <w:szCs w:val="20"/>
        </w:rPr>
      </w:pPr>
      <w:r w:rsidRPr="008E33DF">
        <w:rPr>
          <w:szCs w:val="20"/>
        </w:rPr>
        <w:t xml:space="preserve">HR 16 mei 1975, </w:t>
      </w:r>
      <w:r w:rsidRPr="008E33DF">
        <w:rPr>
          <w:i/>
          <w:szCs w:val="20"/>
        </w:rPr>
        <w:t xml:space="preserve">NJ </w:t>
      </w:r>
      <w:r w:rsidRPr="008E33DF">
        <w:rPr>
          <w:szCs w:val="20"/>
        </w:rPr>
        <w:t>1975/437: verzorging kan huurbetaling zijn.</w:t>
      </w:r>
    </w:p>
    <w:p w:rsidR="00785D22" w:rsidRPr="008E33DF" w:rsidRDefault="00785D22" w:rsidP="00785D22">
      <w:pPr>
        <w:rPr>
          <w:szCs w:val="20"/>
        </w:rPr>
      </w:pPr>
    </w:p>
    <w:p w:rsidR="00785D22" w:rsidRPr="008E33DF" w:rsidRDefault="00785D22" w:rsidP="00785D22">
      <w:pPr>
        <w:rPr>
          <w:szCs w:val="20"/>
        </w:rPr>
      </w:pPr>
      <w:r w:rsidRPr="008E33DF">
        <w:rPr>
          <w:szCs w:val="20"/>
        </w:rPr>
        <w:t xml:space="preserve">HR 31 oktober 1997, </w:t>
      </w:r>
      <w:r w:rsidRPr="008E33DF">
        <w:rPr>
          <w:i/>
          <w:szCs w:val="20"/>
        </w:rPr>
        <w:t>NJ</w:t>
      </w:r>
      <w:r w:rsidRPr="008E33DF">
        <w:rPr>
          <w:szCs w:val="20"/>
        </w:rPr>
        <w:t>1998/97 (Portocabin): onroerende zaak</w:t>
      </w:r>
    </w:p>
    <w:p w:rsidR="00785D22" w:rsidRPr="008E33DF" w:rsidRDefault="00785D22" w:rsidP="00785D22">
      <w:pPr>
        <w:rPr>
          <w:szCs w:val="20"/>
        </w:rPr>
      </w:pPr>
    </w:p>
    <w:p w:rsidR="00785D22" w:rsidRPr="008E33DF" w:rsidRDefault="00785D22" w:rsidP="00785D22">
      <w:pPr>
        <w:rPr>
          <w:szCs w:val="20"/>
        </w:rPr>
      </w:pPr>
      <w:r w:rsidRPr="008E33DF">
        <w:rPr>
          <w:szCs w:val="20"/>
        </w:rPr>
        <w:t xml:space="preserve">HR 24 januari 1986, </w:t>
      </w:r>
      <w:r w:rsidRPr="008E33DF">
        <w:rPr>
          <w:i/>
          <w:szCs w:val="20"/>
        </w:rPr>
        <w:t>NJ</w:t>
      </w:r>
      <w:r w:rsidRPr="008E33DF">
        <w:rPr>
          <w:szCs w:val="20"/>
        </w:rPr>
        <w:t>1986/746 (Gemeente Helmond/Van Tilburg)</w:t>
      </w:r>
    </w:p>
    <w:p w:rsidR="00785D22" w:rsidRPr="008E33DF" w:rsidRDefault="00785D22" w:rsidP="00616AA9">
      <w:pPr>
        <w:rPr>
          <w:szCs w:val="20"/>
        </w:rPr>
      </w:pPr>
    </w:p>
    <w:p w:rsidR="00785D22" w:rsidRPr="008E33DF" w:rsidRDefault="00785D22" w:rsidP="00785D22">
      <w:pPr>
        <w:rPr>
          <w:szCs w:val="20"/>
        </w:rPr>
      </w:pPr>
      <w:r w:rsidRPr="008E33DF">
        <w:rPr>
          <w:szCs w:val="20"/>
        </w:rPr>
        <w:t xml:space="preserve">HR 8 januari 1999, </w:t>
      </w:r>
      <w:r w:rsidRPr="008E33DF">
        <w:rPr>
          <w:i/>
          <w:szCs w:val="20"/>
        </w:rPr>
        <w:t>NJ</w:t>
      </w:r>
      <w:r w:rsidRPr="008E33DF">
        <w:rPr>
          <w:szCs w:val="20"/>
        </w:rPr>
        <w:t>1999/495 (Huurbescherming; gebruik van woonruimte dat naar zijn aard van korte duur is).</w:t>
      </w:r>
    </w:p>
    <w:p w:rsidR="00785D22" w:rsidRPr="008E33DF" w:rsidRDefault="00785D22" w:rsidP="00785D22">
      <w:pPr>
        <w:rPr>
          <w:szCs w:val="20"/>
        </w:rPr>
      </w:pPr>
    </w:p>
    <w:p w:rsidR="00785D22" w:rsidRPr="008E33DF" w:rsidRDefault="00785D22" w:rsidP="00785D22">
      <w:pPr>
        <w:rPr>
          <w:szCs w:val="20"/>
        </w:rPr>
      </w:pPr>
      <w:r w:rsidRPr="008E33DF">
        <w:rPr>
          <w:szCs w:val="20"/>
        </w:rPr>
        <w:t>Hoge Raad, 13 april 2012, ECLI:NL:HR:2012:BV2628</w:t>
      </w:r>
    </w:p>
    <w:p w:rsidR="00785D22" w:rsidRPr="008E33DF" w:rsidRDefault="00785D22" w:rsidP="00785D22">
      <w:pPr>
        <w:rPr>
          <w:szCs w:val="20"/>
        </w:rPr>
      </w:pPr>
    </w:p>
    <w:p w:rsidR="00785D22" w:rsidRPr="008E33DF" w:rsidRDefault="00785D22" w:rsidP="00785D22">
      <w:pPr>
        <w:rPr>
          <w:szCs w:val="20"/>
        </w:rPr>
      </w:pPr>
      <w:r w:rsidRPr="008E33DF">
        <w:rPr>
          <w:szCs w:val="20"/>
        </w:rPr>
        <w:lastRenderedPageBreak/>
        <w:t>Hoge Raad, 30 mei 1975, ECLI:NL:PHR:1975:AC5593</w:t>
      </w:r>
    </w:p>
    <w:p w:rsidR="00785D22" w:rsidRPr="008E33DF" w:rsidRDefault="00785D22" w:rsidP="00616AA9">
      <w:pPr>
        <w:rPr>
          <w:szCs w:val="20"/>
        </w:rPr>
      </w:pPr>
    </w:p>
    <w:p w:rsidR="00616AA9" w:rsidRPr="001E614E" w:rsidRDefault="00616AA9" w:rsidP="00616AA9">
      <w:pPr>
        <w:rPr>
          <w:szCs w:val="20"/>
          <w:lang w:val="en-US"/>
        </w:rPr>
      </w:pPr>
      <w:r w:rsidRPr="001E614E">
        <w:rPr>
          <w:szCs w:val="20"/>
          <w:lang w:val="en-US"/>
        </w:rPr>
        <w:t>Hof Amsterdam, 13 januari 2005, ECLI:NL:GHAMS:2005:AT6712</w:t>
      </w:r>
    </w:p>
    <w:p w:rsidR="00616AA9" w:rsidRPr="001E614E" w:rsidRDefault="00616AA9" w:rsidP="00616AA9">
      <w:pPr>
        <w:rPr>
          <w:szCs w:val="20"/>
          <w:lang w:val="en-US"/>
        </w:rPr>
      </w:pPr>
    </w:p>
    <w:p w:rsidR="00616AA9" w:rsidRPr="008E33DF" w:rsidRDefault="00616AA9" w:rsidP="00616AA9">
      <w:pPr>
        <w:rPr>
          <w:szCs w:val="20"/>
        </w:rPr>
      </w:pPr>
      <w:r w:rsidRPr="008E33DF">
        <w:rPr>
          <w:szCs w:val="20"/>
        </w:rPr>
        <w:t>Pres. Rb. Leeuwarde</w:t>
      </w:r>
      <w:r w:rsidR="00C03A9E">
        <w:rPr>
          <w:szCs w:val="20"/>
        </w:rPr>
        <w:t>n</w:t>
      </w:r>
      <w:r w:rsidRPr="008E33DF">
        <w:rPr>
          <w:szCs w:val="20"/>
        </w:rPr>
        <w:t xml:space="preserve"> 27 april 1993, </w:t>
      </w:r>
      <w:r w:rsidRPr="008E33DF">
        <w:rPr>
          <w:i/>
          <w:szCs w:val="20"/>
        </w:rPr>
        <w:t>Prg.</w:t>
      </w:r>
      <w:r w:rsidRPr="008E33DF">
        <w:rPr>
          <w:szCs w:val="20"/>
        </w:rPr>
        <w:t xml:space="preserve"> 1993/3881</w:t>
      </w:r>
    </w:p>
    <w:p w:rsidR="00616AA9" w:rsidRPr="008E33DF" w:rsidRDefault="00616AA9" w:rsidP="00616AA9">
      <w:pPr>
        <w:rPr>
          <w:szCs w:val="20"/>
        </w:rPr>
      </w:pPr>
    </w:p>
    <w:p w:rsidR="00616AA9" w:rsidRPr="008E33DF" w:rsidRDefault="00616AA9" w:rsidP="00616AA9">
      <w:pPr>
        <w:rPr>
          <w:b/>
          <w:color w:val="548DD4" w:themeColor="text2" w:themeTint="99"/>
          <w:sz w:val="22"/>
        </w:rPr>
      </w:pPr>
      <w:r w:rsidRPr="008E33DF">
        <w:rPr>
          <w:b/>
          <w:color w:val="548DD4" w:themeColor="text2" w:themeTint="99"/>
          <w:sz w:val="22"/>
        </w:rPr>
        <w:t>Bestudeerde uitspraken</w:t>
      </w:r>
    </w:p>
    <w:p w:rsidR="00616AA9" w:rsidRPr="008E33DF" w:rsidRDefault="00616AA9" w:rsidP="00616AA9">
      <w:pPr>
        <w:rPr>
          <w:szCs w:val="20"/>
        </w:rPr>
      </w:pPr>
    </w:p>
    <w:tbl>
      <w:tblPr>
        <w:tblW w:w="9436" w:type="dxa"/>
        <w:tblInd w:w="55" w:type="dxa"/>
        <w:tblCellMar>
          <w:left w:w="70" w:type="dxa"/>
          <w:right w:w="70" w:type="dxa"/>
        </w:tblCellMar>
        <w:tblLook w:val="04A0"/>
      </w:tblPr>
      <w:tblGrid>
        <w:gridCol w:w="9436"/>
      </w:tblGrid>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Haarlem, 11 juli 2007, ECLI:NL:RBHAA:2007:BA9689</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Zutphen (Kantonrechter Groenlo), 23 juli 2007, ECLI:NLRBZUT:2007:BB0505</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Zutphen, 19 december 2007, ECLI:NL:RBZUT:2007:BC1289</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Amsterdam, 17 juli 2008, ECLI:NL:RBAMS:2008:BG4268</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Arnhem (vzr.), 15 september 2008, ECLI:NL:RBARN:2008:BF1822</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Utrecht, 17 september 2008, ECLI:NL:RBUTR:BG3922</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Rotterdam, 24 augustus 2009, ECLI:NL:RBROT:2009:BJ7429</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Arnhem (Voorzieningenrechter), 23 oktober 2009, ECLI:NL:RBARN:2009:BK3219</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Zwolle-Lelystad, 8 juni 2010, ECLI:NL:RBZLY:2010:BM8586</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Arnhem, 26 april 2010, ECLI:NL:RBARN:2010:BV2950</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Zutphen (Kantonrechter Apeldoorn), 6 oktober 2010, ECLI:NL:RBZUT:2010:BO0453</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Amsterdam (Kantonrechter), 23 december 2010, ECLI:NL:RBAMS:2010:BR3450</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's-Gravenhage, 15 februari 2011, ECLI:NL:RBSGR:2011: BP8136</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's-Hertogenbosch, 17 februari 2011, ECLI:NL:RBSHE,2011:BX5625</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Zwolle-Lelystad, 17 maart 2011, ECLI:NL:RBZLY:2011:BQ4237</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Zutphen, 18 mei 2011, ECLI:NL:RBZUT:2011:BQ5057</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Haarlem, 13 oktober 2011, ECLI:NL:RBHAA:2011:BU4226</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Haarlem, 17 november 2011, ECLI:NL:RBHAA:2011:BV5570</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Rotterdam, 30 maart 2012, ECLI:NL:RBROT:2012:BW6175</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Amsterdam (Kantonrechter), 5 juni 2012, ECLI:NL:RBAMS:2012:BX0197</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Almelo (Voorzieningenrechter), 30 juli 2012, ECLI:NL:RBALM:2012:BX3143</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's-Hertogenbosch (Kantonrechter Eindhoven), 02 augustus 2012, ECLI:NL:RBSHE:2012:BX5069</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Rotterdam, 28 december 2012, ECLI:NL:RBROT:2012:BZ4802</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Rotterdam, 25 januari 2013, ECLI:NL:RBROT:2013:BZ2866</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Den Haag, 30 januari 2013, ECLI:NL:RBSGR:2009:BZ0834</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Oost-Brabant (Kantonrechter Eindhoven), 22 april 2013, ECLI:NL:RBOBR:2013:BZ9112</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Amsterdam, 28 mei 2013, ECLI:NL:RBAMS:2013:CA3378</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Den Haag, 22 juli 2013, ECLI:NL:RBDHA:2013:11159</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Midden-Nederland, 4 september 2013, ECLI:NL:RBMNE:2013:4702</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Rotterdam, 30 oktober 2013, ECLI:NL:RBROT:2013:8482</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 xml:space="preserve">Rechtbank Amsterdam (Kantonrechter, voorzieningenrechter), 24 januari 2014, </w:t>
            </w:r>
            <w:r w:rsidRPr="00E83457">
              <w:rPr>
                <w:lang w:eastAsia="nl-NL"/>
              </w:rPr>
              <w:lastRenderedPageBreak/>
              <w:t>ECLI:NL:RBAMS:2014:524</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lastRenderedPageBreak/>
              <w:t>Rechtbank Amsterdam (Kantonrechter), 17 februari 2014, ECLI:NL:RBAMS:2014:2595</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Rotterdam, 14 maart 2014, ECLI:NL:RBROT:2014:1824</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Amsterdam (Kantonrechter), 8 april 2014, ECLI:NL:RBAMS:2014:2594</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Noord-Holland, 28 april 2014, ECLI:NL:RBNHO:2014:4093</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Noord-Nederland, 17 oktober 2014, ECLI:NL:RBNNE:2014:5058</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Amsterdam (Kantonrechter, voorzieningenrechter), 19 december 2014, ECLI:NL:RBAMS:2014:9688</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Rotterdam, 17 april 2015, ECLI:NL:RBROT:2015:3525</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Amsterdam, 29 oktober 2015, ECLI:NL:RBAMS:2015:8076</w:t>
            </w:r>
          </w:p>
        </w:tc>
      </w:tr>
      <w:tr w:rsidR="00E83457" w:rsidRPr="00E83457" w:rsidTr="00E83457">
        <w:trPr>
          <w:trHeight w:val="300"/>
        </w:trPr>
        <w:tc>
          <w:tcPr>
            <w:tcW w:w="9436" w:type="dxa"/>
            <w:tcBorders>
              <w:top w:val="nil"/>
              <w:left w:val="nil"/>
              <w:bottom w:val="nil"/>
              <w:right w:val="nil"/>
            </w:tcBorders>
            <w:shd w:val="clear" w:color="auto" w:fill="auto"/>
            <w:noWrap/>
            <w:vAlign w:val="bottom"/>
            <w:hideMark/>
          </w:tcPr>
          <w:p w:rsidR="00E83457" w:rsidRPr="00E83457" w:rsidRDefault="00E83457" w:rsidP="00617FC0">
            <w:pPr>
              <w:rPr>
                <w:lang w:eastAsia="nl-NL"/>
              </w:rPr>
            </w:pPr>
            <w:r w:rsidRPr="00E83457">
              <w:rPr>
                <w:lang w:eastAsia="nl-NL"/>
              </w:rPr>
              <w:t>Rechtbank Limburg, 27 november 2015, ECLI:NL:RBLIM:2015:10132</w:t>
            </w:r>
          </w:p>
        </w:tc>
      </w:tr>
    </w:tbl>
    <w:p w:rsidR="00616AA9" w:rsidRPr="008E33DF" w:rsidRDefault="00616AA9" w:rsidP="00616AA9">
      <w:pPr>
        <w:rPr>
          <w:szCs w:val="20"/>
        </w:rPr>
      </w:pPr>
    </w:p>
    <w:p w:rsidR="00616AA9" w:rsidRPr="008E33DF" w:rsidRDefault="00616AA9"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893161" w:rsidRDefault="00893161" w:rsidP="00893161"/>
    <w:p w:rsidR="005E7558" w:rsidRPr="008E33DF" w:rsidRDefault="005E7558" w:rsidP="005E7558">
      <w:pPr>
        <w:pStyle w:val="Kop1"/>
      </w:pPr>
      <w:bookmarkStart w:id="58" w:name="_Toc454253686"/>
      <w:r w:rsidRPr="008E33DF">
        <w:lastRenderedPageBreak/>
        <w:t>Bijlagen</w:t>
      </w:r>
      <w:bookmarkEnd w:id="58"/>
    </w:p>
    <w:p w:rsidR="005E7558" w:rsidRPr="008E33DF" w:rsidRDefault="005E7558" w:rsidP="005E7558"/>
    <w:p w:rsidR="004A0522" w:rsidRPr="008E33DF" w:rsidRDefault="004A0522" w:rsidP="00252E30">
      <w:pPr>
        <w:rPr>
          <w:rFonts w:cs="Helvetica"/>
          <w:szCs w:val="20"/>
        </w:rPr>
      </w:pPr>
    </w:p>
    <w:sectPr w:rsidR="004A0522" w:rsidRPr="008E33DF" w:rsidSect="00EC62C2">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A76" w:rsidRDefault="00404A76" w:rsidP="00EA51E1">
      <w:pPr>
        <w:spacing w:line="240" w:lineRule="auto"/>
      </w:pPr>
      <w:r>
        <w:separator/>
      </w:r>
    </w:p>
  </w:endnote>
  <w:endnote w:type="continuationSeparator" w:id="1">
    <w:p w:rsidR="00404A76" w:rsidRDefault="00404A76" w:rsidP="00EA51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UnicodeMS_PDF_Subse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20126"/>
      <w:docPartObj>
        <w:docPartGallery w:val="Page Numbers (Bottom of Page)"/>
        <w:docPartUnique/>
      </w:docPartObj>
    </w:sdtPr>
    <w:sdtContent>
      <w:p w:rsidR="0049737D" w:rsidRDefault="00104973">
        <w:pPr>
          <w:pStyle w:val="Voettekst"/>
          <w:jc w:val="right"/>
        </w:pPr>
        <w:fldSimple w:instr=" PAGE   \* MERGEFORMAT ">
          <w:r w:rsidR="00166BF3">
            <w:rPr>
              <w:noProof/>
            </w:rPr>
            <w:t>1</w:t>
          </w:r>
        </w:fldSimple>
      </w:p>
    </w:sdtContent>
  </w:sdt>
  <w:p w:rsidR="0049737D" w:rsidRDefault="0049737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A76" w:rsidRDefault="00404A76" w:rsidP="00EA51E1">
      <w:pPr>
        <w:spacing w:line="240" w:lineRule="auto"/>
      </w:pPr>
      <w:r>
        <w:separator/>
      </w:r>
    </w:p>
  </w:footnote>
  <w:footnote w:type="continuationSeparator" w:id="1">
    <w:p w:rsidR="00404A76" w:rsidRDefault="00404A76" w:rsidP="00EA51E1">
      <w:pPr>
        <w:spacing w:line="240" w:lineRule="auto"/>
      </w:pPr>
      <w:r>
        <w:continuationSeparator/>
      </w:r>
    </w:p>
  </w:footnote>
  <w:footnote w:id="2">
    <w:p w:rsidR="0049737D" w:rsidRPr="0049737D" w:rsidRDefault="0049737D">
      <w:pPr>
        <w:pStyle w:val="Voetnoottekst"/>
        <w:rPr>
          <w:sz w:val="16"/>
          <w:szCs w:val="16"/>
          <w:lang w:val="en-US"/>
        </w:rPr>
      </w:pPr>
      <w:r w:rsidRPr="00453D87">
        <w:rPr>
          <w:rStyle w:val="Voetnootmarkering"/>
          <w:sz w:val="16"/>
          <w:szCs w:val="16"/>
        </w:rPr>
        <w:footnoteRef/>
      </w:r>
      <w:r w:rsidRPr="0049737D">
        <w:rPr>
          <w:sz w:val="16"/>
          <w:szCs w:val="16"/>
          <w:lang w:val="en-US"/>
        </w:rPr>
        <w:t xml:space="preserve"> Hof Amsterdam 13 januari 2005, ECLI:NL:GHAMS:2005:AT6712.</w:t>
      </w:r>
    </w:p>
  </w:footnote>
  <w:footnote w:id="3">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Art. 7:271 lid 1 en lid 4 BW</w:t>
      </w:r>
      <w:r>
        <w:rPr>
          <w:sz w:val="16"/>
          <w:szCs w:val="16"/>
        </w:rPr>
        <w:t>.</w:t>
      </w:r>
    </w:p>
  </w:footnote>
  <w:footnote w:id="4">
    <w:p w:rsidR="0049737D" w:rsidRPr="00453D87" w:rsidRDefault="0049737D" w:rsidP="007810BF">
      <w:pPr>
        <w:pStyle w:val="Voetnoottekst"/>
        <w:spacing w:line="276" w:lineRule="auto"/>
        <w:rPr>
          <w:sz w:val="16"/>
          <w:szCs w:val="16"/>
        </w:rPr>
      </w:pPr>
      <w:r w:rsidRPr="00453D87">
        <w:rPr>
          <w:rStyle w:val="Voetnootmarkering"/>
          <w:sz w:val="16"/>
          <w:szCs w:val="16"/>
        </w:rPr>
        <w:footnoteRef/>
      </w:r>
      <w:r w:rsidRPr="00453D87">
        <w:rPr>
          <w:sz w:val="16"/>
          <w:szCs w:val="16"/>
        </w:rPr>
        <w:t xml:space="preserve"> HR 26 juni 1953, </w:t>
      </w:r>
      <w:r w:rsidRPr="00453D87">
        <w:rPr>
          <w:i/>
          <w:sz w:val="16"/>
          <w:szCs w:val="16"/>
        </w:rPr>
        <w:t xml:space="preserve">NJ </w:t>
      </w:r>
      <w:r w:rsidRPr="00453D87">
        <w:rPr>
          <w:sz w:val="16"/>
          <w:szCs w:val="16"/>
        </w:rPr>
        <w:t>1953/634: gebruik filmzaal voor enige avonden per week – prijs 15% van recette – is huur.</w:t>
      </w:r>
    </w:p>
  </w:footnote>
  <w:footnote w:id="5">
    <w:p w:rsidR="0049737D" w:rsidRPr="00453D87" w:rsidRDefault="0049737D" w:rsidP="007810BF">
      <w:pPr>
        <w:pStyle w:val="Voetnoottekst"/>
        <w:spacing w:line="276" w:lineRule="auto"/>
      </w:pPr>
      <w:r w:rsidRPr="00453D87">
        <w:rPr>
          <w:rStyle w:val="Voetnootmarkering"/>
          <w:sz w:val="16"/>
          <w:szCs w:val="16"/>
        </w:rPr>
        <w:footnoteRef/>
      </w:r>
      <w:r w:rsidRPr="00453D87">
        <w:rPr>
          <w:sz w:val="16"/>
          <w:szCs w:val="16"/>
        </w:rPr>
        <w:t xml:space="preserve"> Pres. Rb. Leeuwarden 27 april 1993, </w:t>
      </w:r>
      <w:r w:rsidRPr="00453D87">
        <w:rPr>
          <w:i/>
          <w:sz w:val="16"/>
          <w:szCs w:val="16"/>
        </w:rPr>
        <w:t>Prg.</w:t>
      </w:r>
      <w:r w:rsidRPr="00453D87">
        <w:rPr>
          <w:sz w:val="16"/>
          <w:szCs w:val="16"/>
        </w:rPr>
        <w:t xml:space="preserve"> 1993/3881.</w:t>
      </w:r>
    </w:p>
  </w:footnote>
  <w:footnote w:id="6">
    <w:p w:rsidR="0049737D" w:rsidRPr="00453D87" w:rsidRDefault="0049737D" w:rsidP="007810BF">
      <w:pPr>
        <w:pStyle w:val="Voetnoottekst"/>
        <w:spacing w:line="276" w:lineRule="auto"/>
        <w:rPr>
          <w:sz w:val="16"/>
          <w:szCs w:val="16"/>
        </w:rPr>
      </w:pPr>
      <w:r w:rsidRPr="00453D87">
        <w:rPr>
          <w:rStyle w:val="Voetnootmarkering"/>
          <w:sz w:val="16"/>
          <w:szCs w:val="16"/>
        </w:rPr>
        <w:footnoteRef/>
      </w:r>
      <w:r w:rsidRPr="00453D87">
        <w:rPr>
          <w:sz w:val="16"/>
          <w:szCs w:val="16"/>
        </w:rPr>
        <w:t xml:space="preserve"> HR 16 mei 1975, </w:t>
      </w:r>
      <w:r w:rsidRPr="00453D87">
        <w:rPr>
          <w:i/>
          <w:sz w:val="16"/>
          <w:szCs w:val="16"/>
        </w:rPr>
        <w:t xml:space="preserve">NJ </w:t>
      </w:r>
      <w:r w:rsidRPr="00453D87">
        <w:rPr>
          <w:sz w:val="16"/>
          <w:szCs w:val="16"/>
        </w:rPr>
        <w:t>1975/437: verzorging kan huurbetaling zijn.</w:t>
      </w:r>
    </w:p>
  </w:footnote>
  <w:footnote w:id="7">
    <w:p w:rsidR="0049737D" w:rsidRPr="00453D87" w:rsidRDefault="0049737D" w:rsidP="007B4D59">
      <w:pPr>
        <w:pStyle w:val="Voetnoottekst"/>
        <w:rPr>
          <w:sz w:val="16"/>
          <w:szCs w:val="16"/>
        </w:rPr>
      </w:pPr>
      <w:r w:rsidRPr="00453D87">
        <w:rPr>
          <w:rStyle w:val="Voetnootmarkering"/>
          <w:sz w:val="16"/>
          <w:szCs w:val="16"/>
        </w:rPr>
        <w:footnoteRef/>
      </w:r>
      <w:r w:rsidRPr="00453D87">
        <w:rPr>
          <w:sz w:val="16"/>
          <w:szCs w:val="16"/>
        </w:rPr>
        <w:t xml:space="preserve"> HR 31 oktober 1997, </w:t>
      </w:r>
      <w:r w:rsidRPr="00453D87">
        <w:rPr>
          <w:i/>
          <w:sz w:val="16"/>
          <w:szCs w:val="16"/>
        </w:rPr>
        <w:t>NJ</w:t>
      </w:r>
      <w:r w:rsidRPr="00453D87">
        <w:rPr>
          <w:sz w:val="16"/>
          <w:szCs w:val="16"/>
        </w:rPr>
        <w:t>1998/97 (Portocabin): onroerende zaak.</w:t>
      </w:r>
    </w:p>
  </w:footnote>
  <w:footnote w:id="8">
    <w:p w:rsidR="0049737D" w:rsidRPr="00453D87" w:rsidRDefault="0049737D" w:rsidP="007B4D59">
      <w:pPr>
        <w:pStyle w:val="Voetnoottekst"/>
        <w:rPr>
          <w:sz w:val="16"/>
          <w:szCs w:val="16"/>
        </w:rPr>
      </w:pPr>
      <w:r w:rsidRPr="00453D87">
        <w:rPr>
          <w:rStyle w:val="Voetnootmarkering"/>
          <w:sz w:val="16"/>
          <w:szCs w:val="16"/>
        </w:rPr>
        <w:footnoteRef/>
      </w:r>
      <w:r w:rsidRPr="00453D87">
        <w:rPr>
          <w:sz w:val="16"/>
          <w:szCs w:val="16"/>
        </w:rPr>
        <w:t xml:space="preserve"> Sengers, 2015, p 60</w:t>
      </w:r>
      <w:r>
        <w:rPr>
          <w:sz w:val="16"/>
          <w:szCs w:val="16"/>
        </w:rPr>
        <w:t>.</w:t>
      </w:r>
    </w:p>
  </w:footnote>
  <w:footnote w:id="9">
    <w:p w:rsidR="0049737D" w:rsidRPr="00453D87" w:rsidRDefault="0049737D" w:rsidP="007B4D59">
      <w:pPr>
        <w:spacing w:line="240" w:lineRule="auto"/>
        <w:rPr>
          <w:rFonts w:cs="Helvetica"/>
          <w:sz w:val="16"/>
          <w:szCs w:val="16"/>
        </w:rPr>
      </w:pPr>
      <w:r w:rsidRPr="00453D87">
        <w:rPr>
          <w:rStyle w:val="Voetnootmarkering"/>
          <w:sz w:val="16"/>
          <w:szCs w:val="16"/>
        </w:rPr>
        <w:footnoteRef/>
      </w:r>
      <w:r w:rsidRPr="00453D87">
        <w:rPr>
          <w:rFonts w:cs="Helvetica"/>
          <w:sz w:val="16"/>
          <w:szCs w:val="16"/>
        </w:rPr>
        <w:t xml:space="preserve"> Van der Hoek, in: </w:t>
      </w:r>
      <w:r w:rsidRPr="00453D87">
        <w:rPr>
          <w:rFonts w:cs="Helvetica"/>
          <w:i/>
          <w:sz w:val="16"/>
          <w:szCs w:val="16"/>
        </w:rPr>
        <w:t>T&amp;C Burgerlijk Wetboek</w:t>
      </w:r>
      <w:r w:rsidRPr="00453D87">
        <w:rPr>
          <w:rFonts w:cs="Helvetica"/>
          <w:sz w:val="16"/>
          <w:szCs w:val="16"/>
        </w:rPr>
        <w:t xml:space="preserve"> 2015, art. 7:234 BW, aant. 2 (online, laatst bijgewerkt op 01-12-2015)</w:t>
      </w:r>
      <w:r>
        <w:rPr>
          <w:rFonts w:cs="Helvetica"/>
          <w:sz w:val="16"/>
          <w:szCs w:val="16"/>
        </w:rPr>
        <w:t>.</w:t>
      </w:r>
    </w:p>
  </w:footnote>
  <w:footnote w:id="10">
    <w:p w:rsidR="0049737D" w:rsidRPr="00453D87" w:rsidRDefault="0049737D" w:rsidP="007B4D59">
      <w:pPr>
        <w:pStyle w:val="Voetnoottekst"/>
        <w:rPr>
          <w:sz w:val="16"/>
          <w:szCs w:val="16"/>
        </w:rPr>
      </w:pPr>
      <w:r w:rsidRPr="00453D87">
        <w:rPr>
          <w:rStyle w:val="Voetnootmarkering"/>
          <w:sz w:val="16"/>
          <w:szCs w:val="16"/>
        </w:rPr>
        <w:footnoteRef/>
      </w:r>
      <w:r w:rsidRPr="00453D87">
        <w:rPr>
          <w:sz w:val="16"/>
          <w:szCs w:val="16"/>
        </w:rPr>
        <w:t xml:space="preserve"> Sengers, 2015, p 279</w:t>
      </w:r>
      <w:r>
        <w:rPr>
          <w:sz w:val="16"/>
          <w:szCs w:val="16"/>
        </w:rPr>
        <w:t>.</w:t>
      </w:r>
    </w:p>
    <w:p w:rsidR="0049737D" w:rsidRPr="00453D87" w:rsidRDefault="0049737D" w:rsidP="007B4D59">
      <w:pPr>
        <w:pStyle w:val="Voetnoottekst"/>
      </w:pPr>
      <w:r w:rsidRPr="00453D87">
        <w:rPr>
          <w:rFonts w:cs="Helvetica"/>
          <w:sz w:val="16"/>
          <w:szCs w:val="16"/>
        </w:rPr>
        <w:t xml:space="preserve">  Van der Hoek, in: </w:t>
      </w:r>
      <w:r w:rsidRPr="00453D87">
        <w:rPr>
          <w:rFonts w:cs="Helvetica"/>
          <w:i/>
          <w:sz w:val="16"/>
          <w:szCs w:val="16"/>
        </w:rPr>
        <w:t>T&amp;C Burgerlijk Wetboek</w:t>
      </w:r>
      <w:r w:rsidRPr="00453D87">
        <w:rPr>
          <w:rFonts w:cs="Helvetica"/>
          <w:sz w:val="16"/>
          <w:szCs w:val="16"/>
        </w:rPr>
        <w:t xml:space="preserve"> 2015, art. 7:274 BW, (online, laatst bijgewerkt op 24-11-2015)</w:t>
      </w:r>
      <w:r>
        <w:rPr>
          <w:rFonts w:cs="Helvetica"/>
          <w:sz w:val="16"/>
          <w:szCs w:val="16"/>
        </w:rPr>
        <w:t>.</w:t>
      </w:r>
    </w:p>
  </w:footnote>
  <w:footnote w:id="11">
    <w:p w:rsidR="0049737D" w:rsidRPr="00453D87" w:rsidRDefault="0049737D" w:rsidP="007B4D59">
      <w:pPr>
        <w:pStyle w:val="Voetnoottekst"/>
        <w:rPr>
          <w:sz w:val="16"/>
          <w:szCs w:val="16"/>
        </w:rPr>
      </w:pPr>
      <w:r w:rsidRPr="00453D87">
        <w:rPr>
          <w:rStyle w:val="Voetnootmarkering"/>
          <w:sz w:val="16"/>
          <w:szCs w:val="16"/>
        </w:rPr>
        <w:footnoteRef/>
      </w:r>
      <w:r w:rsidRPr="00453D87">
        <w:rPr>
          <w:sz w:val="16"/>
          <w:szCs w:val="16"/>
        </w:rPr>
        <w:t xml:space="preserve"> HR 24 januari 1986, </w:t>
      </w:r>
      <w:r w:rsidRPr="00453D87">
        <w:rPr>
          <w:i/>
          <w:sz w:val="16"/>
          <w:szCs w:val="16"/>
        </w:rPr>
        <w:t>NJ</w:t>
      </w:r>
      <w:r w:rsidRPr="00453D87">
        <w:rPr>
          <w:sz w:val="16"/>
          <w:szCs w:val="16"/>
        </w:rPr>
        <w:t>1986/746 (Gemeente Helmond/Van Tilburg).</w:t>
      </w:r>
    </w:p>
  </w:footnote>
  <w:footnote w:id="12">
    <w:p w:rsidR="0049737D" w:rsidRPr="00453D87" w:rsidRDefault="0049737D" w:rsidP="007B4D59">
      <w:pPr>
        <w:pStyle w:val="Voetnoottekst"/>
        <w:rPr>
          <w:sz w:val="16"/>
          <w:szCs w:val="16"/>
        </w:rPr>
      </w:pPr>
      <w:r w:rsidRPr="00453D87">
        <w:rPr>
          <w:rStyle w:val="Voetnootmarkering"/>
          <w:sz w:val="16"/>
          <w:szCs w:val="16"/>
        </w:rPr>
        <w:footnoteRef/>
      </w:r>
      <w:r w:rsidRPr="00453D87">
        <w:rPr>
          <w:sz w:val="16"/>
          <w:szCs w:val="16"/>
        </w:rPr>
        <w:t xml:space="preserve"> Sengers, 2015, p 282</w:t>
      </w:r>
      <w:r>
        <w:rPr>
          <w:sz w:val="16"/>
          <w:szCs w:val="16"/>
        </w:rPr>
        <w:t>.</w:t>
      </w:r>
    </w:p>
  </w:footnote>
  <w:footnote w:id="13">
    <w:p w:rsidR="0049737D" w:rsidRPr="00453D87" w:rsidRDefault="0049737D" w:rsidP="007B4D59">
      <w:pPr>
        <w:pStyle w:val="Voetnoottekst"/>
        <w:rPr>
          <w:sz w:val="16"/>
          <w:szCs w:val="16"/>
        </w:rPr>
      </w:pPr>
      <w:r w:rsidRPr="00453D87">
        <w:rPr>
          <w:rStyle w:val="Voetnootmarkering"/>
          <w:sz w:val="16"/>
          <w:szCs w:val="16"/>
        </w:rPr>
        <w:footnoteRef/>
      </w:r>
      <w:r w:rsidRPr="00453D87">
        <w:rPr>
          <w:sz w:val="16"/>
          <w:szCs w:val="16"/>
        </w:rPr>
        <w:t xml:space="preserve"> Sengers, 2015, p 281</w:t>
      </w:r>
      <w:r>
        <w:rPr>
          <w:sz w:val="16"/>
          <w:szCs w:val="16"/>
        </w:rPr>
        <w:t>.</w:t>
      </w:r>
    </w:p>
  </w:footnote>
  <w:footnote w:id="14">
    <w:p w:rsidR="0049737D" w:rsidRPr="00453D87" w:rsidRDefault="0049737D" w:rsidP="007B4D59">
      <w:pPr>
        <w:pStyle w:val="Voetnoottekst"/>
      </w:pPr>
      <w:r w:rsidRPr="00453D87">
        <w:rPr>
          <w:rStyle w:val="Voetnootmarkering"/>
          <w:sz w:val="16"/>
          <w:szCs w:val="16"/>
        </w:rPr>
        <w:footnoteRef/>
      </w:r>
      <w:r w:rsidRPr="00453D87">
        <w:rPr>
          <w:rFonts w:cs="Helvetica"/>
          <w:sz w:val="16"/>
          <w:szCs w:val="16"/>
        </w:rPr>
        <w:t xml:space="preserve">Van der Hoek, in: </w:t>
      </w:r>
      <w:r w:rsidRPr="00453D87">
        <w:rPr>
          <w:rFonts w:cs="Helvetica"/>
          <w:i/>
          <w:sz w:val="16"/>
          <w:szCs w:val="16"/>
        </w:rPr>
        <w:t>T&amp;C Burgerlijk Wetboek</w:t>
      </w:r>
      <w:r w:rsidRPr="00453D87">
        <w:rPr>
          <w:rFonts w:cs="Helvetica"/>
          <w:sz w:val="16"/>
          <w:szCs w:val="16"/>
        </w:rPr>
        <w:t xml:space="preserve"> 2015, art. 7:274 BW, aant. 5 (online, laatst bijgewerkt op 24-11-2015)</w:t>
      </w:r>
      <w:r>
        <w:rPr>
          <w:rFonts w:cs="Helvetica"/>
          <w:sz w:val="16"/>
          <w:szCs w:val="16"/>
        </w:rPr>
        <w:t>.</w:t>
      </w:r>
    </w:p>
  </w:footnote>
  <w:footnote w:id="15">
    <w:p w:rsidR="0049737D" w:rsidRPr="00453D87" w:rsidRDefault="0049737D" w:rsidP="007B4D59">
      <w:pPr>
        <w:pStyle w:val="Voetnoottekst"/>
        <w:rPr>
          <w:rFonts w:cs="Helvetica"/>
          <w:sz w:val="16"/>
          <w:szCs w:val="16"/>
        </w:rPr>
      </w:pPr>
      <w:r w:rsidRPr="00453D87">
        <w:rPr>
          <w:rStyle w:val="Voetnootmarkering"/>
          <w:rFonts w:cs="Helvetica"/>
          <w:sz w:val="16"/>
          <w:szCs w:val="16"/>
        </w:rPr>
        <w:footnoteRef/>
      </w:r>
      <w:r w:rsidRPr="00453D87">
        <w:rPr>
          <w:rFonts w:cs="Helvetica"/>
          <w:sz w:val="16"/>
          <w:szCs w:val="16"/>
        </w:rPr>
        <w:t xml:space="preserve">Van der Hoek, in: </w:t>
      </w:r>
      <w:r w:rsidRPr="00453D87">
        <w:rPr>
          <w:rFonts w:cs="Helvetica"/>
          <w:i/>
          <w:sz w:val="16"/>
          <w:szCs w:val="16"/>
        </w:rPr>
        <w:t>T&amp;C Burgerlijk Wetboek</w:t>
      </w:r>
      <w:r w:rsidRPr="00453D87">
        <w:rPr>
          <w:rFonts w:cs="Helvetica"/>
          <w:sz w:val="16"/>
          <w:szCs w:val="16"/>
        </w:rPr>
        <w:t xml:space="preserve"> 2015, art. 7:232 BW, aant. 3 (online, laatst bijgewerkt op 01-12-2015)</w:t>
      </w:r>
      <w:r>
        <w:rPr>
          <w:rFonts w:cs="Helvetica"/>
          <w:sz w:val="16"/>
          <w:szCs w:val="16"/>
        </w:rPr>
        <w:t>.</w:t>
      </w:r>
    </w:p>
  </w:footnote>
  <w:footnote w:id="16">
    <w:p w:rsidR="0049737D" w:rsidRPr="00453D87" w:rsidRDefault="0049737D" w:rsidP="00896577">
      <w:pPr>
        <w:pStyle w:val="Voetnoottekst"/>
        <w:rPr>
          <w:rFonts w:cs="Helvetica"/>
          <w:sz w:val="16"/>
          <w:szCs w:val="16"/>
        </w:rPr>
      </w:pPr>
      <w:r w:rsidRPr="00453D87">
        <w:rPr>
          <w:rStyle w:val="Voetnootmarkering"/>
          <w:rFonts w:cs="Helvetica"/>
          <w:sz w:val="16"/>
          <w:szCs w:val="16"/>
        </w:rPr>
        <w:footnoteRef/>
      </w:r>
      <w:r w:rsidRPr="00453D87">
        <w:rPr>
          <w:rFonts w:cs="Helvetica"/>
          <w:sz w:val="16"/>
          <w:szCs w:val="16"/>
        </w:rPr>
        <w:t xml:space="preserve"> Sengers, 2015, p. 264 e.v.</w:t>
      </w:r>
    </w:p>
    <w:p w:rsidR="0049737D" w:rsidRPr="00453D87" w:rsidRDefault="0049737D" w:rsidP="00896577">
      <w:pPr>
        <w:pStyle w:val="Voetnoottekst"/>
        <w:rPr>
          <w:sz w:val="16"/>
          <w:szCs w:val="16"/>
        </w:rPr>
      </w:pPr>
      <w:r w:rsidRPr="00453D87">
        <w:rPr>
          <w:rFonts w:cs="Helvetica"/>
          <w:sz w:val="16"/>
          <w:szCs w:val="16"/>
        </w:rPr>
        <w:t xml:space="preserve">   Dozy, in: </w:t>
      </w:r>
      <w:r w:rsidRPr="00453D87">
        <w:rPr>
          <w:rFonts w:cs="Helvetica"/>
          <w:i/>
          <w:sz w:val="16"/>
          <w:szCs w:val="16"/>
        </w:rPr>
        <w:t>T&amp;C Burgerlijk Wetboek</w:t>
      </w:r>
      <w:r w:rsidRPr="00453D87">
        <w:rPr>
          <w:rFonts w:cs="Helvetica"/>
          <w:sz w:val="16"/>
          <w:szCs w:val="16"/>
        </w:rPr>
        <w:t xml:space="preserve"> 2015, art. 7:231 BW, (online, laatst bijgewerkt op 15-02-2015)</w:t>
      </w:r>
      <w:r>
        <w:rPr>
          <w:rFonts w:cs="Helvetica"/>
          <w:sz w:val="16"/>
          <w:szCs w:val="16"/>
        </w:rPr>
        <w:t>.</w:t>
      </w:r>
    </w:p>
  </w:footnote>
  <w:footnote w:id="17">
    <w:p w:rsidR="0049737D" w:rsidRPr="00453D87" w:rsidRDefault="0049737D" w:rsidP="00896577">
      <w:pPr>
        <w:pStyle w:val="Voetnoottekst"/>
        <w:rPr>
          <w:sz w:val="16"/>
          <w:szCs w:val="16"/>
        </w:rPr>
      </w:pPr>
      <w:r w:rsidRPr="00453D87">
        <w:rPr>
          <w:rStyle w:val="Voetnootmarkering"/>
          <w:sz w:val="16"/>
          <w:szCs w:val="16"/>
        </w:rPr>
        <w:footnoteRef/>
      </w:r>
      <w:r w:rsidRPr="00453D87">
        <w:rPr>
          <w:sz w:val="16"/>
          <w:szCs w:val="16"/>
        </w:rPr>
        <w:t xml:space="preserve"> Sengers, 2015, p 264</w:t>
      </w:r>
      <w:r>
        <w:rPr>
          <w:sz w:val="16"/>
          <w:szCs w:val="16"/>
        </w:rPr>
        <w:t>.</w:t>
      </w:r>
    </w:p>
  </w:footnote>
  <w:footnote w:id="18">
    <w:p w:rsidR="0049737D" w:rsidRPr="00453D87" w:rsidRDefault="0049737D">
      <w:pPr>
        <w:pStyle w:val="Voetnoottekst"/>
        <w:rPr>
          <w:sz w:val="16"/>
          <w:szCs w:val="16"/>
        </w:rPr>
      </w:pPr>
      <w:r w:rsidRPr="00453D87">
        <w:rPr>
          <w:rStyle w:val="Voetnootmarkering"/>
          <w:sz w:val="16"/>
          <w:szCs w:val="16"/>
        </w:rPr>
        <w:footnoteRef/>
      </w:r>
      <w:r w:rsidRPr="00453D87">
        <w:rPr>
          <w:iCs/>
          <w:sz w:val="16"/>
          <w:szCs w:val="16"/>
        </w:rPr>
        <w:t>Kamerstukken II 1969/70, 10451, 3, p. 5</w:t>
      </w:r>
      <w:r>
        <w:rPr>
          <w:iCs/>
          <w:sz w:val="16"/>
          <w:szCs w:val="16"/>
        </w:rPr>
        <w:t>.</w:t>
      </w:r>
    </w:p>
  </w:footnote>
  <w:footnote w:id="19">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Handelingen II 1978/79, 14175, p. 5026</w:t>
      </w:r>
      <w:r>
        <w:rPr>
          <w:sz w:val="16"/>
          <w:szCs w:val="16"/>
        </w:rPr>
        <w:t>.</w:t>
      </w:r>
    </w:p>
  </w:footnote>
  <w:footnote w:id="20">
    <w:p w:rsidR="0049737D" w:rsidRPr="00453D87" w:rsidRDefault="0049737D" w:rsidP="001D18A6">
      <w:pPr>
        <w:pStyle w:val="Voetnoottekst"/>
        <w:rPr>
          <w:sz w:val="16"/>
          <w:szCs w:val="16"/>
        </w:rPr>
      </w:pPr>
      <w:r w:rsidRPr="00453D87">
        <w:rPr>
          <w:rStyle w:val="Voetnootmarkering"/>
          <w:sz w:val="16"/>
          <w:szCs w:val="16"/>
        </w:rPr>
        <w:footnoteRef/>
      </w:r>
      <w:r w:rsidRPr="00453D87">
        <w:rPr>
          <w:iCs/>
          <w:sz w:val="16"/>
          <w:szCs w:val="16"/>
        </w:rPr>
        <w:t xml:space="preserve"> Kamerstukken II 1997/98, 26089, nr. 3, p. 38</w:t>
      </w:r>
      <w:r>
        <w:rPr>
          <w:iCs/>
          <w:sz w:val="16"/>
          <w:szCs w:val="16"/>
        </w:rPr>
        <w:t>.</w:t>
      </w:r>
    </w:p>
  </w:footnote>
  <w:footnote w:id="21">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HR 8 januari 1999, </w:t>
      </w:r>
      <w:r w:rsidRPr="00453D87">
        <w:rPr>
          <w:i/>
          <w:sz w:val="16"/>
          <w:szCs w:val="16"/>
        </w:rPr>
        <w:t>NJ</w:t>
      </w:r>
      <w:r w:rsidRPr="00453D87">
        <w:rPr>
          <w:sz w:val="16"/>
          <w:szCs w:val="16"/>
        </w:rPr>
        <w:t>1999/495 (Huurbescherming; gebruik van woonruimte dat naar zijn aard van korte duur is).</w:t>
      </w:r>
    </w:p>
  </w:footnote>
  <w:footnote w:id="22">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HR 30 mei 1975, ECLI:NL:PHR:1975:AC5593</w:t>
      </w:r>
      <w:r>
        <w:rPr>
          <w:sz w:val="16"/>
          <w:szCs w:val="16"/>
        </w:rPr>
        <w:t>.</w:t>
      </w:r>
    </w:p>
  </w:footnote>
  <w:footnote w:id="23">
    <w:p w:rsidR="0049737D" w:rsidRPr="00453D87" w:rsidRDefault="0049737D" w:rsidP="00DD0864">
      <w:pPr>
        <w:pStyle w:val="Voetnoottekst"/>
        <w:rPr>
          <w:sz w:val="16"/>
          <w:szCs w:val="16"/>
        </w:rPr>
      </w:pPr>
      <w:r w:rsidRPr="00453D87">
        <w:rPr>
          <w:rStyle w:val="Voetnootmarkering"/>
          <w:sz w:val="16"/>
          <w:szCs w:val="16"/>
        </w:rPr>
        <w:footnoteRef/>
      </w:r>
      <w:r w:rsidRPr="00453D87">
        <w:rPr>
          <w:iCs/>
          <w:sz w:val="16"/>
          <w:szCs w:val="16"/>
        </w:rPr>
        <w:t xml:space="preserve"> Kamerstukken II 1997/98, 26089, nr. 3, p. 38</w:t>
      </w:r>
      <w:r>
        <w:rPr>
          <w:iCs/>
          <w:sz w:val="16"/>
          <w:szCs w:val="16"/>
        </w:rPr>
        <w:t>.</w:t>
      </w:r>
    </w:p>
  </w:footnote>
  <w:footnote w:id="24">
    <w:p w:rsidR="0049737D" w:rsidRPr="00453D87" w:rsidRDefault="0049737D" w:rsidP="004742E5">
      <w:pPr>
        <w:pStyle w:val="Voetnoottekst"/>
      </w:pPr>
      <w:r w:rsidRPr="00453D87">
        <w:rPr>
          <w:rStyle w:val="Voetnootmarkering"/>
          <w:sz w:val="16"/>
          <w:szCs w:val="16"/>
        </w:rPr>
        <w:footnoteRef/>
      </w:r>
      <w:r w:rsidRPr="00453D87">
        <w:rPr>
          <w:rFonts w:cs="Helvetica"/>
          <w:sz w:val="16"/>
          <w:szCs w:val="16"/>
        </w:rPr>
        <w:t xml:space="preserve">Jacobs, in: </w:t>
      </w:r>
      <w:r w:rsidRPr="00453D87">
        <w:rPr>
          <w:rFonts w:cs="Helvetica"/>
          <w:i/>
          <w:sz w:val="16"/>
          <w:szCs w:val="16"/>
        </w:rPr>
        <w:t>T&amp;C Burgerlijk Wetboek</w:t>
      </w:r>
      <w:r w:rsidRPr="00453D87">
        <w:rPr>
          <w:rFonts w:cs="Helvetica"/>
          <w:sz w:val="16"/>
          <w:szCs w:val="16"/>
        </w:rPr>
        <w:t xml:space="preserve"> 2015, art. 7:257 BW, (online, laatst bijgewerkt op 11-12-2015)</w:t>
      </w:r>
      <w:r>
        <w:rPr>
          <w:rFonts w:cs="Helvetica"/>
          <w:sz w:val="16"/>
          <w:szCs w:val="16"/>
        </w:rPr>
        <w:t>.</w:t>
      </w:r>
    </w:p>
  </w:footnote>
  <w:footnote w:id="25">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Zutphen 19 december 2007, ECLI:NL:RBZUT:2007:BC1289</w:t>
      </w:r>
      <w:r>
        <w:rPr>
          <w:sz w:val="16"/>
          <w:szCs w:val="16"/>
        </w:rPr>
        <w:t xml:space="preserve"> (uitspraak 16).</w:t>
      </w:r>
    </w:p>
  </w:footnote>
  <w:footnote w:id="26">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Haarlem 11 juli 2007, ECLI:NL:RBHAA:2007:BA9689</w:t>
      </w:r>
      <w:r>
        <w:rPr>
          <w:sz w:val="16"/>
          <w:szCs w:val="16"/>
        </w:rPr>
        <w:t xml:space="preserve"> (uitspraak 1).</w:t>
      </w:r>
    </w:p>
  </w:footnote>
  <w:footnote w:id="27">
    <w:p w:rsidR="0049737D" w:rsidRPr="00453D87" w:rsidRDefault="0049737D" w:rsidP="00F176B3">
      <w:pPr>
        <w:pStyle w:val="Voetnoottekst"/>
        <w:rPr>
          <w:sz w:val="16"/>
          <w:szCs w:val="16"/>
        </w:rPr>
      </w:pPr>
      <w:r w:rsidRPr="00453D87">
        <w:rPr>
          <w:rStyle w:val="Voetnootmarkering"/>
          <w:sz w:val="16"/>
          <w:szCs w:val="16"/>
        </w:rPr>
        <w:footnoteRef/>
      </w:r>
      <w:r w:rsidRPr="00453D87">
        <w:rPr>
          <w:sz w:val="16"/>
          <w:szCs w:val="16"/>
        </w:rPr>
        <w:t xml:space="preserve"> Rb. Amsterdam 29 oktober 2015, ECLI:NL:RBAMS:2015:8076</w:t>
      </w:r>
      <w:r>
        <w:rPr>
          <w:sz w:val="16"/>
          <w:szCs w:val="16"/>
        </w:rPr>
        <w:t xml:space="preserve"> (uitspraak 11).</w:t>
      </w:r>
    </w:p>
  </w:footnote>
  <w:footnote w:id="28">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Amsterdam (Kantonrechter) 08 april 2014, ECLI:NL:RBAMS:2014:2594</w:t>
      </w:r>
      <w:r>
        <w:rPr>
          <w:sz w:val="16"/>
          <w:szCs w:val="16"/>
        </w:rPr>
        <w:t xml:space="preserve"> (uitspraak 6).</w:t>
      </w:r>
    </w:p>
  </w:footnote>
  <w:footnote w:id="29">
    <w:p w:rsidR="0049737D" w:rsidRPr="00453D87" w:rsidRDefault="0049737D" w:rsidP="0026539C">
      <w:pPr>
        <w:pStyle w:val="Voetnoottekst"/>
        <w:rPr>
          <w:sz w:val="16"/>
          <w:szCs w:val="16"/>
        </w:rPr>
      </w:pPr>
      <w:r w:rsidRPr="00453D87">
        <w:rPr>
          <w:rStyle w:val="Voetnootmarkering"/>
          <w:sz w:val="16"/>
          <w:szCs w:val="16"/>
        </w:rPr>
        <w:footnoteRef/>
      </w:r>
      <w:r w:rsidRPr="00453D87">
        <w:rPr>
          <w:sz w:val="16"/>
          <w:szCs w:val="16"/>
        </w:rPr>
        <w:t xml:space="preserve"> Rb. Limburg 17 november 2015, ECLI:NL:RBLIM:2015:10132</w:t>
      </w:r>
      <w:r>
        <w:rPr>
          <w:sz w:val="16"/>
          <w:szCs w:val="16"/>
        </w:rPr>
        <w:t xml:space="preserve"> (uitspraak 15).</w:t>
      </w:r>
    </w:p>
  </w:footnote>
  <w:footnote w:id="30">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Zutphen 18 mei 2011, ECLI:NL:RBZUT:2011:BQ5057</w:t>
      </w:r>
      <w:r>
        <w:rPr>
          <w:sz w:val="16"/>
          <w:szCs w:val="16"/>
        </w:rPr>
        <w:t xml:space="preserve"> (uitspraak 26).</w:t>
      </w:r>
    </w:p>
  </w:footnote>
  <w:footnote w:id="31">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Den Haag 22 juli 2013, ECLI:NL:RBDHA:2013:11159</w:t>
      </w:r>
      <w:r>
        <w:rPr>
          <w:sz w:val="16"/>
          <w:szCs w:val="16"/>
        </w:rPr>
        <w:t xml:space="preserve"> (uitspraak 31).</w:t>
      </w:r>
    </w:p>
  </w:footnote>
  <w:footnote w:id="32">
    <w:p w:rsidR="0049737D" w:rsidRPr="00453D87" w:rsidRDefault="0049737D" w:rsidP="00247413">
      <w:pPr>
        <w:pStyle w:val="Voetnoottekst"/>
        <w:rPr>
          <w:sz w:val="16"/>
          <w:szCs w:val="16"/>
        </w:rPr>
      </w:pPr>
      <w:r w:rsidRPr="00453D87">
        <w:rPr>
          <w:rStyle w:val="Voetnootmarkering"/>
          <w:sz w:val="16"/>
          <w:szCs w:val="16"/>
        </w:rPr>
        <w:footnoteRef/>
      </w:r>
      <w:r w:rsidRPr="00453D87">
        <w:rPr>
          <w:sz w:val="16"/>
          <w:szCs w:val="16"/>
        </w:rPr>
        <w:t xml:space="preserve"> Rb. Amsterdam 19 december 2014, ECLI:NL:RBAMS:2014:9688</w:t>
      </w:r>
      <w:r>
        <w:rPr>
          <w:sz w:val="16"/>
          <w:szCs w:val="16"/>
        </w:rPr>
        <w:t xml:space="preserve"> (uitspraak 28).</w:t>
      </w:r>
    </w:p>
  </w:footnote>
  <w:footnote w:id="33">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Zutphen 19 december 2007, ECLI:NL:RBZUT:2007:BC1289</w:t>
      </w:r>
      <w:r>
        <w:rPr>
          <w:sz w:val="16"/>
          <w:szCs w:val="16"/>
        </w:rPr>
        <w:t xml:space="preserve"> (uitspraak 16).</w:t>
      </w:r>
    </w:p>
  </w:footnote>
  <w:footnote w:id="34">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Rotterdam 25 januari 2013, ECLI:NL:RBROT:2013:BZ2866</w:t>
      </w:r>
      <w:r>
        <w:rPr>
          <w:sz w:val="16"/>
          <w:szCs w:val="16"/>
        </w:rPr>
        <w:t xml:space="preserve"> (uitspraak 10).</w:t>
      </w:r>
    </w:p>
  </w:footnote>
  <w:footnote w:id="35">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Rotterdam 28 december 2012, ECLI:NL:RBROT:2012:BZ4802</w:t>
      </w:r>
      <w:r>
        <w:rPr>
          <w:sz w:val="16"/>
          <w:szCs w:val="16"/>
        </w:rPr>
        <w:t xml:space="preserve"> (uitspraak 18).</w:t>
      </w:r>
    </w:p>
  </w:footnote>
  <w:footnote w:id="36">
    <w:p w:rsidR="0049737D" w:rsidRPr="00453D87" w:rsidRDefault="0049737D" w:rsidP="00877187">
      <w:pPr>
        <w:pStyle w:val="Voetnoottekst"/>
        <w:rPr>
          <w:sz w:val="16"/>
          <w:szCs w:val="16"/>
        </w:rPr>
      </w:pPr>
      <w:r w:rsidRPr="00453D87">
        <w:rPr>
          <w:rStyle w:val="Voetnootmarkering"/>
          <w:sz w:val="16"/>
          <w:szCs w:val="16"/>
        </w:rPr>
        <w:footnoteRef/>
      </w:r>
      <w:r w:rsidRPr="00453D87">
        <w:rPr>
          <w:sz w:val="16"/>
          <w:szCs w:val="16"/>
        </w:rPr>
        <w:t xml:space="preserve"> Rb. Den Haag 15 februari 2011, ECLI:NL:RBSGR:2011:BP8136</w:t>
      </w:r>
      <w:r>
        <w:rPr>
          <w:sz w:val="16"/>
          <w:szCs w:val="16"/>
        </w:rPr>
        <w:t xml:space="preserve"> (uitspraak 19).</w:t>
      </w:r>
    </w:p>
  </w:footnote>
  <w:footnote w:id="37">
    <w:p w:rsidR="0049737D" w:rsidRPr="00453D87" w:rsidRDefault="0049737D" w:rsidP="00877187">
      <w:pPr>
        <w:pStyle w:val="Voetnoottekst"/>
        <w:rPr>
          <w:sz w:val="16"/>
          <w:szCs w:val="16"/>
        </w:rPr>
      </w:pPr>
      <w:r w:rsidRPr="00453D87">
        <w:rPr>
          <w:rStyle w:val="Voetnootmarkering"/>
          <w:sz w:val="16"/>
          <w:szCs w:val="16"/>
        </w:rPr>
        <w:footnoteRef/>
      </w:r>
      <w:r w:rsidRPr="00453D87">
        <w:rPr>
          <w:sz w:val="16"/>
          <w:szCs w:val="16"/>
        </w:rPr>
        <w:t xml:space="preserve"> Rb. Midden-Nederland 04 september 2013, ECLI:NL:RBMNE:2013:4702</w:t>
      </w:r>
      <w:r>
        <w:rPr>
          <w:sz w:val="16"/>
          <w:szCs w:val="16"/>
        </w:rPr>
        <w:t xml:space="preserve"> (uitspraak 20).</w:t>
      </w:r>
    </w:p>
    <w:p w:rsidR="0049737D" w:rsidRPr="00453D87" w:rsidRDefault="0049737D" w:rsidP="00877187">
      <w:pPr>
        <w:pStyle w:val="Voetnoottekst"/>
        <w:rPr>
          <w:sz w:val="16"/>
          <w:szCs w:val="16"/>
        </w:rPr>
      </w:pPr>
      <w:r w:rsidRPr="00453D87">
        <w:rPr>
          <w:sz w:val="16"/>
          <w:szCs w:val="16"/>
        </w:rPr>
        <w:t xml:space="preserve">    Rb. Noord-Holland 28 april 2014, ECLI:NL:RBNHO:2014:4093</w:t>
      </w:r>
      <w:r>
        <w:rPr>
          <w:sz w:val="16"/>
          <w:szCs w:val="16"/>
        </w:rPr>
        <w:t xml:space="preserve"> (uitspraak 22).</w:t>
      </w:r>
    </w:p>
  </w:footnote>
  <w:footnote w:id="38">
    <w:p w:rsidR="0049737D" w:rsidRPr="00453D87" w:rsidRDefault="0049737D" w:rsidP="00877187">
      <w:pPr>
        <w:spacing w:line="240" w:lineRule="auto"/>
        <w:rPr>
          <w:sz w:val="16"/>
          <w:szCs w:val="16"/>
        </w:rPr>
      </w:pPr>
      <w:r w:rsidRPr="00453D87">
        <w:rPr>
          <w:rStyle w:val="Voetnootmarkering"/>
          <w:sz w:val="16"/>
          <w:szCs w:val="16"/>
        </w:rPr>
        <w:footnoteRef/>
      </w:r>
      <w:r w:rsidRPr="00453D87">
        <w:rPr>
          <w:sz w:val="16"/>
          <w:szCs w:val="16"/>
        </w:rPr>
        <w:t xml:space="preserve"> Rb. Amsterdam (Kantonrechter) 8 april 2014, ECLI:NL:RBAMS:2014:2594</w:t>
      </w:r>
      <w:r>
        <w:rPr>
          <w:sz w:val="16"/>
          <w:szCs w:val="16"/>
        </w:rPr>
        <w:t xml:space="preserve"> (uitspraak 6).</w:t>
      </w:r>
    </w:p>
  </w:footnote>
  <w:footnote w:id="39">
    <w:p w:rsidR="0049737D" w:rsidRPr="00453D87" w:rsidRDefault="0049737D" w:rsidP="00877187">
      <w:pPr>
        <w:pStyle w:val="Voetnoottekst"/>
        <w:rPr>
          <w:sz w:val="16"/>
          <w:szCs w:val="16"/>
        </w:rPr>
      </w:pPr>
      <w:r w:rsidRPr="00453D87">
        <w:rPr>
          <w:rStyle w:val="Voetnootmarkering"/>
          <w:sz w:val="16"/>
          <w:szCs w:val="16"/>
        </w:rPr>
        <w:footnoteRef/>
      </w:r>
      <w:r w:rsidRPr="00453D87">
        <w:rPr>
          <w:sz w:val="16"/>
          <w:szCs w:val="16"/>
        </w:rPr>
        <w:t xml:space="preserve"> Rb. Noord-Holland 28 april 2014, ECLI:NL:RBNHO:2014:4093</w:t>
      </w:r>
      <w:r>
        <w:rPr>
          <w:sz w:val="16"/>
          <w:szCs w:val="16"/>
        </w:rPr>
        <w:t xml:space="preserve"> (uitspraak 22).</w:t>
      </w:r>
    </w:p>
  </w:footnote>
  <w:footnote w:id="40">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Amsterdam 24 januari 2014, ECLI:NL:RBAMS:2014:524</w:t>
      </w:r>
      <w:r>
        <w:rPr>
          <w:sz w:val="16"/>
          <w:szCs w:val="16"/>
        </w:rPr>
        <w:t xml:space="preserve"> (uitspraak 30).</w:t>
      </w:r>
    </w:p>
  </w:footnote>
  <w:footnote w:id="41">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Zutphen</w:t>
      </w:r>
      <w:r>
        <w:rPr>
          <w:sz w:val="16"/>
          <w:szCs w:val="16"/>
        </w:rPr>
        <w:t xml:space="preserve"> </w:t>
      </w:r>
      <w:r w:rsidRPr="00453D87">
        <w:rPr>
          <w:sz w:val="16"/>
          <w:szCs w:val="16"/>
        </w:rPr>
        <w:t>(Kantonrechter Apeldoorn) 06 oktober 2010, ECLI:NL:RBZUT:2010:BO0453</w:t>
      </w:r>
      <w:r>
        <w:rPr>
          <w:sz w:val="16"/>
          <w:szCs w:val="16"/>
        </w:rPr>
        <w:t xml:space="preserve"> (uitspraak 39).</w:t>
      </w:r>
    </w:p>
  </w:footnote>
  <w:footnote w:id="42">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HR 30 mei 1975, ECLI:NL:PHR:1975:AC5593</w:t>
      </w:r>
      <w:r>
        <w:rPr>
          <w:sz w:val="16"/>
          <w:szCs w:val="16"/>
        </w:rPr>
        <w:t xml:space="preserve">. </w:t>
      </w:r>
    </w:p>
  </w:footnote>
  <w:footnote w:id="43">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Arnhem 26 april 2010, ECLI:NL:RBARN:2010:BV2950</w:t>
      </w:r>
      <w:r>
        <w:rPr>
          <w:sz w:val="16"/>
          <w:szCs w:val="16"/>
        </w:rPr>
        <w:t xml:space="preserve"> (uitspraak 8).</w:t>
      </w:r>
    </w:p>
  </w:footnote>
  <w:footnote w:id="44">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Amsterdam (Kantonrechter, voorzieningenrechter) 19 december 2014, ECLI:NL:RBAMS:2014:9688</w:t>
      </w:r>
      <w:r>
        <w:rPr>
          <w:sz w:val="16"/>
          <w:szCs w:val="16"/>
        </w:rPr>
        <w:t xml:space="preserve"> (uitspraak 28).</w:t>
      </w:r>
    </w:p>
  </w:footnote>
  <w:footnote w:id="45">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Ktr. Amsterdam 23 december 2010, ECLI:NL:RBAMS:2010:BR3450</w:t>
      </w:r>
      <w:r>
        <w:rPr>
          <w:sz w:val="16"/>
          <w:szCs w:val="16"/>
        </w:rPr>
        <w:t xml:space="preserve"> (uitspraak 36).</w:t>
      </w:r>
    </w:p>
  </w:footnote>
  <w:footnote w:id="46">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's-Hertogenbosch 17 februari 2011, ECLI:NL:RBSHE:2011:BX5625</w:t>
      </w:r>
      <w:r>
        <w:rPr>
          <w:sz w:val="16"/>
          <w:szCs w:val="16"/>
        </w:rPr>
        <w:t xml:space="preserve"> (uitspraak 9).</w:t>
      </w:r>
    </w:p>
  </w:footnote>
  <w:footnote w:id="47">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Den Haag 30 januari 2013, ECLI:NL:RBSGR:2009:BZ0834</w:t>
      </w:r>
      <w:r>
        <w:rPr>
          <w:sz w:val="16"/>
          <w:szCs w:val="16"/>
        </w:rPr>
        <w:t xml:space="preserve"> (uitspraak 12).</w:t>
      </w:r>
    </w:p>
  </w:footnote>
  <w:footnote w:id="48">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Amsterdam (Kantonrechter, voorzieningenrechter) 19 december 2014, ECLI:NL:RBAMS:2014:9688</w:t>
      </w:r>
      <w:r>
        <w:rPr>
          <w:sz w:val="16"/>
          <w:szCs w:val="16"/>
        </w:rPr>
        <w:t xml:space="preserve"> (uitspraak 28).</w:t>
      </w:r>
    </w:p>
  </w:footnote>
  <w:footnote w:id="49">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Rotterdam 24 augustus 2009, ECLI:NL:RBROT:2009:BJ7429</w:t>
      </w:r>
      <w:r>
        <w:rPr>
          <w:sz w:val="16"/>
          <w:szCs w:val="16"/>
        </w:rPr>
        <w:t xml:space="preserve"> (uitspraak 4).</w:t>
      </w:r>
    </w:p>
  </w:footnote>
  <w:footnote w:id="50">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Oost-Brabant (Kamer voor kantonzaken Eindhoven) 22 april 2013, ECLI:NL:RBOBR:2013:BZ9112</w:t>
      </w:r>
      <w:r>
        <w:rPr>
          <w:sz w:val="16"/>
          <w:szCs w:val="16"/>
        </w:rPr>
        <w:t xml:space="preserve"> (uitspraak 33).</w:t>
      </w:r>
    </w:p>
  </w:footnote>
  <w:footnote w:id="51">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Rotterdam 28 december 2012, ECLI:NL:RBROT:2012:BZ4802</w:t>
      </w:r>
      <w:r>
        <w:rPr>
          <w:sz w:val="16"/>
          <w:szCs w:val="16"/>
        </w:rPr>
        <w:t xml:space="preserve"> (uitspraak 18).</w:t>
      </w:r>
    </w:p>
  </w:footnote>
  <w:footnote w:id="52">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Zutphen 18 mei 2011, ECLI:NL:RBZUT:2011:BQ5057</w:t>
      </w:r>
      <w:r>
        <w:rPr>
          <w:sz w:val="16"/>
          <w:szCs w:val="16"/>
        </w:rPr>
        <w:t xml:space="preserve"> (uitspraak 26).</w:t>
      </w:r>
    </w:p>
  </w:footnote>
  <w:footnote w:id="53">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Haarlem 17 november 2011, ECLI:NL:RBHAA:2011:BV5570</w:t>
      </w:r>
      <w:r>
        <w:rPr>
          <w:sz w:val="16"/>
          <w:szCs w:val="16"/>
        </w:rPr>
        <w:t xml:space="preserve"> (uitspraak 35).</w:t>
      </w:r>
    </w:p>
  </w:footnote>
  <w:footnote w:id="54">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Rotterdam 14 maart 2014, ECLI:NL:RBROT:2014:1824</w:t>
      </w:r>
      <w:r>
        <w:rPr>
          <w:sz w:val="16"/>
          <w:szCs w:val="16"/>
        </w:rPr>
        <w:t xml:space="preserve"> (uitspraak 17).</w:t>
      </w:r>
    </w:p>
  </w:footnote>
  <w:footnote w:id="55">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Amsterdam 29 oktober 2015, ECLI:NL:RBAMS:2015:8076</w:t>
      </w:r>
      <w:r>
        <w:rPr>
          <w:sz w:val="16"/>
          <w:szCs w:val="16"/>
        </w:rPr>
        <w:t xml:space="preserve"> (uitspraak 11).</w:t>
      </w:r>
    </w:p>
    <w:p w:rsidR="0049737D" w:rsidRPr="00453D87" w:rsidRDefault="0049737D">
      <w:pPr>
        <w:pStyle w:val="Voetnoottekst"/>
        <w:rPr>
          <w:sz w:val="16"/>
          <w:szCs w:val="16"/>
        </w:rPr>
      </w:pPr>
      <w:r w:rsidRPr="00453D87">
        <w:rPr>
          <w:sz w:val="16"/>
          <w:szCs w:val="16"/>
        </w:rPr>
        <w:t>Rb. Noord-Nederland 17 oktober 2014, ECLI:NL:RBNNE:2014:5058</w:t>
      </w:r>
      <w:r>
        <w:rPr>
          <w:sz w:val="16"/>
          <w:szCs w:val="16"/>
        </w:rPr>
        <w:t xml:space="preserve"> (uitspraak 13).</w:t>
      </w:r>
    </w:p>
    <w:p w:rsidR="0049737D" w:rsidRPr="00453D87" w:rsidRDefault="0049737D">
      <w:pPr>
        <w:pStyle w:val="Voetnoottekst"/>
        <w:rPr>
          <w:sz w:val="16"/>
          <w:szCs w:val="16"/>
        </w:rPr>
      </w:pPr>
      <w:r w:rsidRPr="00453D87">
        <w:rPr>
          <w:sz w:val="16"/>
          <w:szCs w:val="16"/>
        </w:rPr>
        <w:t>Rb. Rotterdam 17 april 2015, ECLI:NL:RBROT:2015:3525</w:t>
      </w:r>
      <w:r>
        <w:rPr>
          <w:sz w:val="16"/>
          <w:szCs w:val="16"/>
        </w:rPr>
        <w:t xml:space="preserve"> (uitspraak 15).</w:t>
      </w:r>
    </w:p>
    <w:p w:rsidR="0049737D" w:rsidRPr="00453D87" w:rsidRDefault="0049737D">
      <w:pPr>
        <w:pStyle w:val="Voetnoottekst"/>
        <w:rPr>
          <w:sz w:val="16"/>
          <w:szCs w:val="16"/>
        </w:rPr>
      </w:pPr>
      <w:r w:rsidRPr="00453D87">
        <w:rPr>
          <w:sz w:val="16"/>
          <w:szCs w:val="16"/>
        </w:rPr>
        <w:t>Rb. Rotterdam 30 oktober 2013, ECLI:NL:RBROT:2013:8482</w:t>
      </w:r>
      <w:r>
        <w:rPr>
          <w:sz w:val="16"/>
          <w:szCs w:val="16"/>
        </w:rPr>
        <w:t xml:space="preserve"> (uitspraak 23).</w:t>
      </w:r>
    </w:p>
    <w:p w:rsidR="0049737D" w:rsidRPr="00453D87" w:rsidRDefault="0049737D">
      <w:pPr>
        <w:pStyle w:val="Voetnoottekst"/>
        <w:rPr>
          <w:sz w:val="16"/>
          <w:szCs w:val="16"/>
        </w:rPr>
      </w:pPr>
      <w:r w:rsidRPr="00453D87">
        <w:rPr>
          <w:sz w:val="16"/>
          <w:szCs w:val="16"/>
        </w:rPr>
        <w:t>Rb. Limburg 27 november 2015, ECLI:NL:RBLIM:2015:10132</w:t>
      </w:r>
      <w:r>
        <w:rPr>
          <w:sz w:val="16"/>
          <w:szCs w:val="16"/>
        </w:rPr>
        <w:t xml:space="preserve"> (uitspraak 27).</w:t>
      </w:r>
    </w:p>
  </w:footnote>
  <w:footnote w:id="56">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Den Haag 30 januari 2013, ECLI:NL:RBSGR:2009:BZ0834</w:t>
      </w:r>
      <w:r>
        <w:rPr>
          <w:sz w:val="16"/>
          <w:szCs w:val="16"/>
        </w:rPr>
        <w:t xml:space="preserve"> (uitspraak 12).</w:t>
      </w:r>
    </w:p>
  </w:footnote>
  <w:footnote w:id="57">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Amsterdam (Kantonrechter, voorzieningenrechter) 19 december 2014, ECLI:NL:RBAMS:2014:9688</w:t>
      </w:r>
      <w:r>
        <w:rPr>
          <w:sz w:val="16"/>
          <w:szCs w:val="16"/>
        </w:rPr>
        <w:t xml:space="preserve"> (uitspraak 28).</w:t>
      </w:r>
    </w:p>
  </w:footnote>
  <w:footnote w:id="58">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Amsterdam 17 </w:t>
      </w:r>
      <w:r>
        <w:rPr>
          <w:sz w:val="16"/>
          <w:szCs w:val="16"/>
        </w:rPr>
        <w:t>juli</w:t>
      </w:r>
      <w:r w:rsidRPr="00453D87">
        <w:rPr>
          <w:sz w:val="16"/>
          <w:szCs w:val="16"/>
        </w:rPr>
        <w:t xml:space="preserve"> 2008, ECLI:NL:RBAMS:2008:BG4268</w:t>
      </w:r>
      <w:r>
        <w:rPr>
          <w:sz w:val="16"/>
          <w:szCs w:val="16"/>
        </w:rPr>
        <w:t xml:space="preserve"> (uitspraak 21).</w:t>
      </w:r>
    </w:p>
  </w:footnote>
  <w:footnote w:id="59">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Rotterdam 17 april 2015, ECLI:NL:RBROT:2015:3525</w:t>
      </w:r>
      <w:r>
        <w:rPr>
          <w:sz w:val="16"/>
          <w:szCs w:val="16"/>
        </w:rPr>
        <w:t xml:space="preserve"> (uitspraak 15).</w:t>
      </w:r>
    </w:p>
  </w:footnote>
  <w:footnote w:id="60">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Limburg 27 november 2015:ECLI:NL:RBLIM:2015:10132</w:t>
      </w:r>
      <w:r>
        <w:rPr>
          <w:sz w:val="16"/>
          <w:szCs w:val="16"/>
        </w:rPr>
        <w:t xml:space="preserve"> (uitspraak 27).</w:t>
      </w:r>
    </w:p>
  </w:footnote>
  <w:footnote w:id="61">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Almelo 30 juli 2012, ECLI:NL:RBALM:2012:BX3143</w:t>
      </w:r>
      <w:r>
        <w:rPr>
          <w:sz w:val="16"/>
          <w:szCs w:val="16"/>
        </w:rPr>
        <w:t xml:space="preserve"> (uitspraak 34).</w:t>
      </w:r>
    </w:p>
  </w:footnote>
  <w:footnote w:id="62">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Rotterdam 30 maart 2012, ECLI:NL:RBROT:2012:BW6175</w:t>
      </w:r>
      <w:r>
        <w:rPr>
          <w:sz w:val="16"/>
          <w:szCs w:val="16"/>
        </w:rPr>
        <w:t xml:space="preserve"> (uitspraak 14).</w:t>
      </w:r>
    </w:p>
  </w:footnote>
  <w:footnote w:id="63">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Haarlem 11 juli 2007, ECLI:NL:RBHAA:2007:BA9689</w:t>
      </w:r>
      <w:r>
        <w:rPr>
          <w:sz w:val="16"/>
          <w:szCs w:val="16"/>
        </w:rPr>
        <w:t xml:space="preserve"> (uitspraak 1).</w:t>
      </w:r>
    </w:p>
  </w:footnote>
  <w:footnote w:id="64">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Amsterdam 29 oktober 2015, ECLI:NL:RBAMS:2015:8076</w:t>
      </w:r>
      <w:r>
        <w:rPr>
          <w:sz w:val="16"/>
          <w:szCs w:val="16"/>
        </w:rPr>
        <w:t xml:space="preserve"> (uitspraak 11).</w:t>
      </w:r>
    </w:p>
  </w:footnote>
  <w:footnote w:id="65">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Rotterdam 25 januari 2013, ECLI:NL:RBROT:2013:BZ2866</w:t>
      </w:r>
      <w:r>
        <w:rPr>
          <w:sz w:val="16"/>
          <w:szCs w:val="16"/>
        </w:rPr>
        <w:t xml:space="preserve"> (uitspraak 10).</w:t>
      </w:r>
    </w:p>
  </w:footnote>
  <w:footnote w:id="66">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Den Haag 22 juli 2013, ECLI:NL:RBDHA:2013:11159</w:t>
      </w:r>
      <w:r>
        <w:rPr>
          <w:sz w:val="16"/>
          <w:szCs w:val="16"/>
        </w:rPr>
        <w:t xml:space="preserve"> (uitspraak 31).</w:t>
      </w:r>
    </w:p>
  </w:footnote>
  <w:footnote w:id="67">
    <w:p w:rsidR="0049737D" w:rsidRPr="00453D87" w:rsidRDefault="0049737D">
      <w:pPr>
        <w:pStyle w:val="Voetnoottekst"/>
        <w:rPr>
          <w:sz w:val="16"/>
          <w:szCs w:val="16"/>
        </w:rPr>
      </w:pPr>
      <w:r w:rsidRPr="00453D87">
        <w:rPr>
          <w:rStyle w:val="Voetnootmarkering"/>
          <w:sz w:val="16"/>
          <w:szCs w:val="16"/>
        </w:rPr>
        <w:footnoteRef/>
      </w:r>
      <w:r w:rsidRPr="00453D87">
        <w:rPr>
          <w:sz w:val="16"/>
          <w:szCs w:val="16"/>
        </w:rPr>
        <w:t xml:space="preserve"> Rb. Arnhem 15 september 2008, ECLI:NL:RBARN:2008:BF1822</w:t>
      </w:r>
      <w:r>
        <w:rPr>
          <w:sz w:val="16"/>
          <w:szCs w:val="16"/>
        </w:rPr>
        <w:t xml:space="preserve"> (uitspraak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216"/>
    <w:multiLevelType w:val="hybridMultilevel"/>
    <w:tmpl w:val="5E6E0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FD55E30"/>
    <w:multiLevelType w:val="hybridMultilevel"/>
    <w:tmpl w:val="52AE6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EF8762D"/>
    <w:multiLevelType w:val="hybridMultilevel"/>
    <w:tmpl w:val="ECFC0B92"/>
    <w:lvl w:ilvl="0" w:tplc="2B8AB22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8612B8"/>
    <w:rsid w:val="00000A73"/>
    <w:rsid w:val="00001370"/>
    <w:rsid w:val="00001696"/>
    <w:rsid w:val="000029C2"/>
    <w:rsid w:val="00005898"/>
    <w:rsid w:val="00006AE8"/>
    <w:rsid w:val="00025D1D"/>
    <w:rsid w:val="000321CB"/>
    <w:rsid w:val="0003297C"/>
    <w:rsid w:val="00036F91"/>
    <w:rsid w:val="000371A8"/>
    <w:rsid w:val="00040133"/>
    <w:rsid w:val="00040463"/>
    <w:rsid w:val="00041005"/>
    <w:rsid w:val="0004146F"/>
    <w:rsid w:val="000424AD"/>
    <w:rsid w:val="00043662"/>
    <w:rsid w:val="00044682"/>
    <w:rsid w:val="0004617C"/>
    <w:rsid w:val="00053880"/>
    <w:rsid w:val="00053C2A"/>
    <w:rsid w:val="00055AF5"/>
    <w:rsid w:val="00055CEB"/>
    <w:rsid w:val="000617A0"/>
    <w:rsid w:val="00064C49"/>
    <w:rsid w:val="0006502B"/>
    <w:rsid w:val="0006613D"/>
    <w:rsid w:val="000719A7"/>
    <w:rsid w:val="0009213E"/>
    <w:rsid w:val="00093B96"/>
    <w:rsid w:val="0009534E"/>
    <w:rsid w:val="000962ED"/>
    <w:rsid w:val="000966B8"/>
    <w:rsid w:val="00097930"/>
    <w:rsid w:val="00097C87"/>
    <w:rsid w:val="000A4134"/>
    <w:rsid w:val="000A43B6"/>
    <w:rsid w:val="000A77BD"/>
    <w:rsid w:val="000A78F3"/>
    <w:rsid w:val="000B27B2"/>
    <w:rsid w:val="000B3232"/>
    <w:rsid w:val="000B5D69"/>
    <w:rsid w:val="000D0FAE"/>
    <w:rsid w:val="000D22A9"/>
    <w:rsid w:val="000D3353"/>
    <w:rsid w:val="000D398D"/>
    <w:rsid w:val="000D531D"/>
    <w:rsid w:val="000D7510"/>
    <w:rsid w:val="000E08A6"/>
    <w:rsid w:val="000E3517"/>
    <w:rsid w:val="000E5B3B"/>
    <w:rsid w:val="000E6862"/>
    <w:rsid w:val="000F054C"/>
    <w:rsid w:val="000F075E"/>
    <w:rsid w:val="000F2870"/>
    <w:rsid w:val="000F32D8"/>
    <w:rsid w:val="000F4385"/>
    <w:rsid w:val="00104973"/>
    <w:rsid w:val="001119F0"/>
    <w:rsid w:val="001140BE"/>
    <w:rsid w:val="00120E06"/>
    <w:rsid w:val="00122BFA"/>
    <w:rsid w:val="00127094"/>
    <w:rsid w:val="00135F24"/>
    <w:rsid w:val="00141D1B"/>
    <w:rsid w:val="001453EE"/>
    <w:rsid w:val="001475F0"/>
    <w:rsid w:val="001623C9"/>
    <w:rsid w:val="00162FEF"/>
    <w:rsid w:val="0016320F"/>
    <w:rsid w:val="00164CA5"/>
    <w:rsid w:val="00166BF3"/>
    <w:rsid w:val="0016708F"/>
    <w:rsid w:val="001704F2"/>
    <w:rsid w:val="00172A84"/>
    <w:rsid w:val="001730FB"/>
    <w:rsid w:val="00177E11"/>
    <w:rsid w:val="00184913"/>
    <w:rsid w:val="00192D2A"/>
    <w:rsid w:val="00197F74"/>
    <w:rsid w:val="001A4A86"/>
    <w:rsid w:val="001A5A2D"/>
    <w:rsid w:val="001A5D8C"/>
    <w:rsid w:val="001C189D"/>
    <w:rsid w:val="001D18A6"/>
    <w:rsid w:val="001D366D"/>
    <w:rsid w:val="001D6619"/>
    <w:rsid w:val="001D7EFB"/>
    <w:rsid w:val="001E342A"/>
    <w:rsid w:val="001E614E"/>
    <w:rsid w:val="001F0434"/>
    <w:rsid w:val="001F374A"/>
    <w:rsid w:val="001F6F54"/>
    <w:rsid w:val="001F70EB"/>
    <w:rsid w:val="00207860"/>
    <w:rsid w:val="00211A7E"/>
    <w:rsid w:val="00212328"/>
    <w:rsid w:val="0022336A"/>
    <w:rsid w:val="002264CB"/>
    <w:rsid w:val="002363BC"/>
    <w:rsid w:val="00237488"/>
    <w:rsid w:val="002405B9"/>
    <w:rsid w:val="00241C80"/>
    <w:rsid w:val="00242DDF"/>
    <w:rsid w:val="002437D1"/>
    <w:rsid w:val="002461CB"/>
    <w:rsid w:val="00246EA0"/>
    <w:rsid w:val="00247377"/>
    <w:rsid w:val="00247413"/>
    <w:rsid w:val="00252E30"/>
    <w:rsid w:val="00263F57"/>
    <w:rsid w:val="0026539C"/>
    <w:rsid w:val="0026711B"/>
    <w:rsid w:val="002719B9"/>
    <w:rsid w:val="00271A06"/>
    <w:rsid w:val="00274F27"/>
    <w:rsid w:val="002759B7"/>
    <w:rsid w:val="00276F4C"/>
    <w:rsid w:val="00277B48"/>
    <w:rsid w:val="00282B3F"/>
    <w:rsid w:val="00286EE0"/>
    <w:rsid w:val="00291027"/>
    <w:rsid w:val="0029618B"/>
    <w:rsid w:val="002A2545"/>
    <w:rsid w:val="002A7313"/>
    <w:rsid w:val="002B34E2"/>
    <w:rsid w:val="002B5D6B"/>
    <w:rsid w:val="002B765C"/>
    <w:rsid w:val="002C3DFA"/>
    <w:rsid w:val="002D532C"/>
    <w:rsid w:val="002D61DF"/>
    <w:rsid w:val="002E2F57"/>
    <w:rsid w:val="002E649E"/>
    <w:rsid w:val="002F1EB7"/>
    <w:rsid w:val="002F51E5"/>
    <w:rsid w:val="002F6FA5"/>
    <w:rsid w:val="003041FD"/>
    <w:rsid w:val="00306DD0"/>
    <w:rsid w:val="0030701D"/>
    <w:rsid w:val="00307C02"/>
    <w:rsid w:val="00307E7B"/>
    <w:rsid w:val="00313B86"/>
    <w:rsid w:val="00315970"/>
    <w:rsid w:val="00317657"/>
    <w:rsid w:val="003211F0"/>
    <w:rsid w:val="00321388"/>
    <w:rsid w:val="00325569"/>
    <w:rsid w:val="00344B0B"/>
    <w:rsid w:val="00354E81"/>
    <w:rsid w:val="0036020E"/>
    <w:rsid w:val="003629ED"/>
    <w:rsid w:val="00362AD1"/>
    <w:rsid w:val="0036332E"/>
    <w:rsid w:val="00365E05"/>
    <w:rsid w:val="00370799"/>
    <w:rsid w:val="00373137"/>
    <w:rsid w:val="0037763A"/>
    <w:rsid w:val="00384C0C"/>
    <w:rsid w:val="003939DE"/>
    <w:rsid w:val="00397DED"/>
    <w:rsid w:val="003B31A6"/>
    <w:rsid w:val="003B3885"/>
    <w:rsid w:val="003B3DE3"/>
    <w:rsid w:val="003B45B5"/>
    <w:rsid w:val="003B5281"/>
    <w:rsid w:val="003B6A17"/>
    <w:rsid w:val="003C1E6F"/>
    <w:rsid w:val="003C39E5"/>
    <w:rsid w:val="003C3F71"/>
    <w:rsid w:val="003C4DDA"/>
    <w:rsid w:val="003C52F6"/>
    <w:rsid w:val="003C575C"/>
    <w:rsid w:val="003D5C4B"/>
    <w:rsid w:val="003E3014"/>
    <w:rsid w:val="003E30C5"/>
    <w:rsid w:val="003E3326"/>
    <w:rsid w:val="003E7D4E"/>
    <w:rsid w:val="003E7E1B"/>
    <w:rsid w:val="003E7E33"/>
    <w:rsid w:val="003F20AE"/>
    <w:rsid w:val="003F74F6"/>
    <w:rsid w:val="003F7F7A"/>
    <w:rsid w:val="0040082C"/>
    <w:rsid w:val="004033AF"/>
    <w:rsid w:val="00403C34"/>
    <w:rsid w:val="00404A76"/>
    <w:rsid w:val="0040551B"/>
    <w:rsid w:val="00406A01"/>
    <w:rsid w:val="00422F76"/>
    <w:rsid w:val="00426A70"/>
    <w:rsid w:val="004406C6"/>
    <w:rsid w:val="0044183B"/>
    <w:rsid w:val="004456A1"/>
    <w:rsid w:val="00446821"/>
    <w:rsid w:val="00452512"/>
    <w:rsid w:val="0045342B"/>
    <w:rsid w:val="00453D87"/>
    <w:rsid w:val="00454F3B"/>
    <w:rsid w:val="00455162"/>
    <w:rsid w:val="004570F7"/>
    <w:rsid w:val="00460D79"/>
    <w:rsid w:val="00465ECD"/>
    <w:rsid w:val="00466908"/>
    <w:rsid w:val="004701D3"/>
    <w:rsid w:val="00472BCC"/>
    <w:rsid w:val="004740EB"/>
    <w:rsid w:val="004742E5"/>
    <w:rsid w:val="00477BE8"/>
    <w:rsid w:val="00484359"/>
    <w:rsid w:val="00485772"/>
    <w:rsid w:val="0049365E"/>
    <w:rsid w:val="0049549B"/>
    <w:rsid w:val="00496099"/>
    <w:rsid w:val="00496AC5"/>
    <w:rsid w:val="0049737D"/>
    <w:rsid w:val="00497E28"/>
    <w:rsid w:val="004A0522"/>
    <w:rsid w:val="004A0F8D"/>
    <w:rsid w:val="004A1C72"/>
    <w:rsid w:val="004A4658"/>
    <w:rsid w:val="004B0101"/>
    <w:rsid w:val="004C322C"/>
    <w:rsid w:val="004C6FF7"/>
    <w:rsid w:val="004D4D31"/>
    <w:rsid w:val="004D5C43"/>
    <w:rsid w:val="004E5CBE"/>
    <w:rsid w:val="004E5D84"/>
    <w:rsid w:val="004E6C69"/>
    <w:rsid w:val="005024F4"/>
    <w:rsid w:val="00504F3F"/>
    <w:rsid w:val="00506D40"/>
    <w:rsid w:val="00510B67"/>
    <w:rsid w:val="00512206"/>
    <w:rsid w:val="005135F0"/>
    <w:rsid w:val="005210A9"/>
    <w:rsid w:val="00521E24"/>
    <w:rsid w:val="0052497C"/>
    <w:rsid w:val="00533607"/>
    <w:rsid w:val="005345E7"/>
    <w:rsid w:val="00541BAD"/>
    <w:rsid w:val="005519C9"/>
    <w:rsid w:val="00554238"/>
    <w:rsid w:val="00565527"/>
    <w:rsid w:val="00571300"/>
    <w:rsid w:val="0058322C"/>
    <w:rsid w:val="00587FC2"/>
    <w:rsid w:val="00594DAC"/>
    <w:rsid w:val="00594E14"/>
    <w:rsid w:val="00597D90"/>
    <w:rsid w:val="005A381F"/>
    <w:rsid w:val="005A5818"/>
    <w:rsid w:val="005B2C8C"/>
    <w:rsid w:val="005B2DA2"/>
    <w:rsid w:val="005B52D2"/>
    <w:rsid w:val="005C5BB3"/>
    <w:rsid w:val="005C7B5E"/>
    <w:rsid w:val="005D3CAD"/>
    <w:rsid w:val="005D4EB3"/>
    <w:rsid w:val="005E271D"/>
    <w:rsid w:val="005E36EC"/>
    <w:rsid w:val="005E7558"/>
    <w:rsid w:val="005F020E"/>
    <w:rsid w:val="005F3CE4"/>
    <w:rsid w:val="005F6BD9"/>
    <w:rsid w:val="005F75C0"/>
    <w:rsid w:val="00602F5E"/>
    <w:rsid w:val="00603F5A"/>
    <w:rsid w:val="00614DA9"/>
    <w:rsid w:val="00614FDD"/>
    <w:rsid w:val="00616AA9"/>
    <w:rsid w:val="00617FC0"/>
    <w:rsid w:val="00621588"/>
    <w:rsid w:val="00633BF7"/>
    <w:rsid w:val="0063400B"/>
    <w:rsid w:val="00637026"/>
    <w:rsid w:val="0063706A"/>
    <w:rsid w:val="00646E35"/>
    <w:rsid w:val="00650A48"/>
    <w:rsid w:val="00651136"/>
    <w:rsid w:val="00654D14"/>
    <w:rsid w:val="00655A1F"/>
    <w:rsid w:val="00660425"/>
    <w:rsid w:val="0066531E"/>
    <w:rsid w:val="00672F7B"/>
    <w:rsid w:val="00673802"/>
    <w:rsid w:val="00681B4E"/>
    <w:rsid w:val="0068281B"/>
    <w:rsid w:val="00683E94"/>
    <w:rsid w:val="0068413F"/>
    <w:rsid w:val="00684C89"/>
    <w:rsid w:val="00687178"/>
    <w:rsid w:val="0069159C"/>
    <w:rsid w:val="00693C18"/>
    <w:rsid w:val="00694A30"/>
    <w:rsid w:val="0069635E"/>
    <w:rsid w:val="006A1807"/>
    <w:rsid w:val="006A2F48"/>
    <w:rsid w:val="006A35DE"/>
    <w:rsid w:val="006B452A"/>
    <w:rsid w:val="006B47E2"/>
    <w:rsid w:val="006B6378"/>
    <w:rsid w:val="006B7058"/>
    <w:rsid w:val="006B73B6"/>
    <w:rsid w:val="006B7DC9"/>
    <w:rsid w:val="006C08DA"/>
    <w:rsid w:val="006C1EA6"/>
    <w:rsid w:val="006C3DD0"/>
    <w:rsid w:val="006C6476"/>
    <w:rsid w:val="006C7905"/>
    <w:rsid w:val="006D0817"/>
    <w:rsid w:val="006D51FA"/>
    <w:rsid w:val="006E036A"/>
    <w:rsid w:val="006E08EA"/>
    <w:rsid w:val="006E5201"/>
    <w:rsid w:val="006F023F"/>
    <w:rsid w:val="006F1321"/>
    <w:rsid w:val="00703112"/>
    <w:rsid w:val="00704F63"/>
    <w:rsid w:val="007105ED"/>
    <w:rsid w:val="007108EC"/>
    <w:rsid w:val="0071782A"/>
    <w:rsid w:val="007214AD"/>
    <w:rsid w:val="00721A5E"/>
    <w:rsid w:val="007253CC"/>
    <w:rsid w:val="0072659E"/>
    <w:rsid w:val="007302FD"/>
    <w:rsid w:val="007314F2"/>
    <w:rsid w:val="00736C8F"/>
    <w:rsid w:val="00743560"/>
    <w:rsid w:val="00752AD8"/>
    <w:rsid w:val="0075345C"/>
    <w:rsid w:val="00753484"/>
    <w:rsid w:val="0075455D"/>
    <w:rsid w:val="00755CF5"/>
    <w:rsid w:val="007578A7"/>
    <w:rsid w:val="00765B5F"/>
    <w:rsid w:val="00767285"/>
    <w:rsid w:val="007703F7"/>
    <w:rsid w:val="0077163D"/>
    <w:rsid w:val="0077294A"/>
    <w:rsid w:val="007810BF"/>
    <w:rsid w:val="00781DDD"/>
    <w:rsid w:val="00784264"/>
    <w:rsid w:val="00785039"/>
    <w:rsid w:val="00785D22"/>
    <w:rsid w:val="00787EA6"/>
    <w:rsid w:val="007906C7"/>
    <w:rsid w:val="0079319F"/>
    <w:rsid w:val="00793873"/>
    <w:rsid w:val="00797FB3"/>
    <w:rsid w:val="007A4341"/>
    <w:rsid w:val="007A6101"/>
    <w:rsid w:val="007A771A"/>
    <w:rsid w:val="007B36E2"/>
    <w:rsid w:val="007B4AFD"/>
    <w:rsid w:val="007B4D59"/>
    <w:rsid w:val="007B539C"/>
    <w:rsid w:val="007B54D6"/>
    <w:rsid w:val="007C207C"/>
    <w:rsid w:val="007C5F68"/>
    <w:rsid w:val="007C6635"/>
    <w:rsid w:val="007D2CD3"/>
    <w:rsid w:val="007D31A4"/>
    <w:rsid w:val="007D536F"/>
    <w:rsid w:val="007E46D1"/>
    <w:rsid w:val="007F4AD2"/>
    <w:rsid w:val="007F6C31"/>
    <w:rsid w:val="00800F27"/>
    <w:rsid w:val="00801AEC"/>
    <w:rsid w:val="00801E66"/>
    <w:rsid w:val="00803ACF"/>
    <w:rsid w:val="00830632"/>
    <w:rsid w:val="00834CC9"/>
    <w:rsid w:val="00836B67"/>
    <w:rsid w:val="00837EDE"/>
    <w:rsid w:val="00841E0E"/>
    <w:rsid w:val="00846B5D"/>
    <w:rsid w:val="00847D46"/>
    <w:rsid w:val="00850839"/>
    <w:rsid w:val="00852391"/>
    <w:rsid w:val="0085359D"/>
    <w:rsid w:val="00853FB2"/>
    <w:rsid w:val="00854519"/>
    <w:rsid w:val="00856A85"/>
    <w:rsid w:val="00860D72"/>
    <w:rsid w:val="008612B8"/>
    <w:rsid w:val="00862FCB"/>
    <w:rsid w:val="00866C86"/>
    <w:rsid w:val="00877187"/>
    <w:rsid w:val="00880827"/>
    <w:rsid w:val="0088187F"/>
    <w:rsid w:val="00881B29"/>
    <w:rsid w:val="00883257"/>
    <w:rsid w:val="00884147"/>
    <w:rsid w:val="008846EB"/>
    <w:rsid w:val="008855CE"/>
    <w:rsid w:val="008877D9"/>
    <w:rsid w:val="00893161"/>
    <w:rsid w:val="00896577"/>
    <w:rsid w:val="008A30B1"/>
    <w:rsid w:val="008A5A7B"/>
    <w:rsid w:val="008C1A4E"/>
    <w:rsid w:val="008C279A"/>
    <w:rsid w:val="008C30D3"/>
    <w:rsid w:val="008D137F"/>
    <w:rsid w:val="008D37DC"/>
    <w:rsid w:val="008D7AA7"/>
    <w:rsid w:val="008E33DF"/>
    <w:rsid w:val="008E3F63"/>
    <w:rsid w:val="008E715E"/>
    <w:rsid w:val="008F0908"/>
    <w:rsid w:val="008F286C"/>
    <w:rsid w:val="008F74C7"/>
    <w:rsid w:val="00913005"/>
    <w:rsid w:val="0091323B"/>
    <w:rsid w:val="009143B7"/>
    <w:rsid w:val="00916CBB"/>
    <w:rsid w:val="00921E20"/>
    <w:rsid w:val="00922279"/>
    <w:rsid w:val="00922C4E"/>
    <w:rsid w:val="0092547B"/>
    <w:rsid w:val="009271A3"/>
    <w:rsid w:val="00930E0D"/>
    <w:rsid w:val="0093541E"/>
    <w:rsid w:val="00937C2D"/>
    <w:rsid w:val="009409BC"/>
    <w:rsid w:val="00953178"/>
    <w:rsid w:val="009532C4"/>
    <w:rsid w:val="00953462"/>
    <w:rsid w:val="0097101D"/>
    <w:rsid w:val="00977581"/>
    <w:rsid w:val="009777C7"/>
    <w:rsid w:val="00977C0B"/>
    <w:rsid w:val="00980219"/>
    <w:rsid w:val="009819AB"/>
    <w:rsid w:val="00982D6A"/>
    <w:rsid w:val="00985EE1"/>
    <w:rsid w:val="00997440"/>
    <w:rsid w:val="009A30DC"/>
    <w:rsid w:val="009A33B1"/>
    <w:rsid w:val="009A41CF"/>
    <w:rsid w:val="009B11BE"/>
    <w:rsid w:val="009B147B"/>
    <w:rsid w:val="009B1867"/>
    <w:rsid w:val="009B5688"/>
    <w:rsid w:val="009B6D93"/>
    <w:rsid w:val="009C11D5"/>
    <w:rsid w:val="009C15C7"/>
    <w:rsid w:val="009C2071"/>
    <w:rsid w:val="009C23B4"/>
    <w:rsid w:val="009C332B"/>
    <w:rsid w:val="009D1FFF"/>
    <w:rsid w:val="009D3C46"/>
    <w:rsid w:val="009D5400"/>
    <w:rsid w:val="009E1D3C"/>
    <w:rsid w:val="009E2817"/>
    <w:rsid w:val="009E6B0D"/>
    <w:rsid w:val="009E761E"/>
    <w:rsid w:val="009F06BD"/>
    <w:rsid w:val="009F1070"/>
    <w:rsid w:val="009F50D1"/>
    <w:rsid w:val="009F7FF8"/>
    <w:rsid w:val="00A006DD"/>
    <w:rsid w:val="00A1337F"/>
    <w:rsid w:val="00A16931"/>
    <w:rsid w:val="00A17E0A"/>
    <w:rsid w:val="00A17E1F"/>
    <w:rsid w:val="00A2675C"/>
    <w:rsid w:val="00A26BCD"/>
    <w:rsid w:val="00A27D40"/>
    <w:rsid w:val="00A3256C"/>
    <w:rsid w:val="00A32AEC"/>
    <w:rsid w:val="00A362DD"/>
    <w:rsid w:val="00A40413"/>
    <w:rsid w:val="00A41BDC"/>
    <w:rsid w:val="00A43EC7"/>
    <w:rsid w:val="00A4441B"/>
    <w:rsid w:val="00A447D9"/>
    <w:rsid w:val="00A54503"/>
    <w:rsid w:val="00A61637"/>
    <w:rsid w:val="00A703ED"/>
    <w:rsid w:val="00A705E7"/>
    <w:rsid w:val="00A71539"/>
    <w:rsid w:val="00A746D8"/>
    <w:rsid w:val="00A80F8A"/>
    <w:rsid w:val="00A83002"/>
    <w:rsid w:val="00A85FB9"/>
    <w:rsid w:val="00A86011"/>
    <w:rsid w:val="00A93098"/>
    <w:rsid w:val="00A97D07"/>
    <w:rsid w:val="00AA189B"/>
    <w:rsid w:val="00AA6200"/>
    <w:rsid w:val="00AA670A"/>
    <w:rsid w:val="00AA796C"/>
    <w:rsid w:val="00AB1E25"/>
    <w:rsid w:val="00AB5A3F"/>
    <w:rsid w:val="00AB76BE"/>
    <w:rsid w:val="00AB7BAD"/>
    <w:rsid w:val="00AC5FAF"/>
    <w:rsid w:val="00AC6B88"/>
    <w:rsid w:val="00AC7EFD"/>
    <w:rsid w:val="00AD1275"/>
    <w:rsid w:val="00AD1F9A"/>
    <w:rsid w:val="00AE0228"/>
    <w:rsid w:val="00AE037E"/>
    <w:rsid w:val="00AE4D2E"/>
    <w:rsid w:val="00AE5E99"/>
    <w:rsid w:val="00B002FE"/>
    <w:rsid w:val="00B01AB1"/>
    <w:rsid w:val="00B02807"/>
    <w:rsid w:val="00B03D10"/>
    <w:rsid w:val="00B03D68"/>
    <w:rsid w:val="00B06E0D"/>
    <w:rsid w:val="00B107E0"/>
    <w:rsid w:val="00B11E60"/>
    <w:rsid w:val="00B15D5D"/>
    <w:rsid w:val="00B17E8F"/>
    <w:rsid w:val="00B2058E"/>
    <w:rsid w:val="00B23E8B"/>
    <w:rsid w:val="00B30BBF"/>
    <w:rsid w:val="00B312D0"/>
    <w:rsid w:val="00B34F6C"/>
    <w:rsid w:val="00B364A1"/>
    <w:rsid w:val="00B365C6"/>
    <w:rsid w:val="00B406C4"/>
    <w:rsid w:val="00B42B99"/>
    <w:rsid w:val="00B61E31"/>
    <w:rsid w:val="00B66CD2"/>
    <w:rsid w:val="00B67E5F"/>
    <w:rsid w:val="00B70802"/>
    <w:rsid w:val="00B70EAF"/>
    <w:rsid w:val="00B747AB"/>
    <w:rsid w:val="00B7715F"/>
    <w:rsid w:val="00B8058D"/>
    <w:rsid w:val="00B8153C"/>
    <w:rsid w:val="00B83C1F"/>
    <w:rsid w:val="00B86BED"/>
    <w:rsid w:val="00BA2879"/>
    <w:rsid w:val="00BA2E47"/>
    <w:rsid w:val="00BA7983"/>
    <w:rsid w:val="00BA7DFF"/>
    <w:rsid w:val="00BB2A8C"/>
    <w:rsid w:val="00BB5CA6"/>
    <w:rsid w:val="00BB7046"/>
    <w:rsid w:val="00BD1DA3"/>
    <w:rsid w:val="00BD524A"/>
    <w:rsid w:val="00BE1883"/>
    <w:rsid w:val="00BF4334"/>
    <w:rsid w:val="00BF67BD"/>
    <w:rsid w:val="00C02F89"/>
    <w:rsid w:val="00C03A9E"/>
    <w:rsid w:val="00C104F5"/>
    <w:rsid w:val="00C12065"/>
    <w:rsid w:val="00C124D1"/>
    <w:rsid w:val="00C12CB6"/>
    <w:rsid w:val="00C13A60"/>
    <w:rsid w:val="00C17025"/>
    <w:rsid w:val="00C1729C"/>
    <w:rsid w:val="00C23B09"/>
    <w:rsid w:val="00C25BE3"/>
    <w:rsid w:val="00C25C96"/>
    <w:rsid w:val="00C37D8B"/>
    <w:rsid w:val="00C507E5"/>
    <w:rsid w:val="00C523DD"/>
    <w:rsid w:val="00C64B20"/>
    <w:rsid w:val="00C65CA1"/>
    <w:rsid w:val="00C66CEB"/>
    <w:rsid w:val="00C66D81"/>
    <w:rsid w:val="00C701FF"/>
    <w:rsid w:val="00C71A73"/>
    <w:rsid w:val="00C71DF6"/>
    <w:rsid w:val="00C71FEE"/>
    <w:rsid w:val="00C75AB3"/>
    <w:rsid w:val="00C828CC"/>
    <w:rsid w:val="00C83955"/>
    <w:rsid w:val="00C86F6E"/>
    <w:rsid w:val="00CA6AFA"/>
    <w:rsid w:val="00CA7C9D"/>
    <w:rsid w:val="00CB44F6"/>
    <w:rsid w:val="00CB64C9"/>
    <w:rsid w:val="00CB6E8A"/>
    <w:rsid w:val="00CC1117"/>
    <w:rsid w:val="00CC123B"/>
    <w:rsid w:val="00CC588B"/>
    <w:rsid w:val="00CC73E9"/>
    <w:rsid w:val="00CD13D9"/>
    <w:rsid w:val="00CD25C3"/>
    <w:rsid w:val="00CD62EC"/>
    <w:rsid w:val="00CE2E70"/>
    <w:rsid w:val="00CE6040"/>
    <w:rsid w:val="00CF023A"/>
    <w:rsid w:val="00CF190A"/>
    <w:rsid w:val="00D022EC"/>
    <w:rsid w:val="00D02A6D"/>
    <w:rsid w:val="00D04DF7"/>
    <w:rsid w:val="00D0510A"/>
    <w:rsid w:val="00D14B48"/>
    <w:rsid w:val="00D15675"/>
    <w:rsid w:val="00D22B6F"/>
    <w:rsid w:val="00D30E53"/>
    <w:rsid w:val="00D31AF2"/>
    <w:rsid w:val="00D34979"/>
    <w:rsid w:val="00D36FEF"/>
    <w:rsid w:val="00D41118"/>
    <w:rsid w:val="00D4235D"/>
    <w:rsid w:val="00D42EB2"/>
    <w:rsid w:val="00D4304F"/>
    <w:rsid w:val="00D43B18"/>
    <w:rsid w:val="00D60726"/>
    <w:rsid w:val="00D62AE1"/>
    <w:rsid w:val="00D6610A"/>
    <w:rsid w:val="00D708B5"/>
    <w:rsid w:val="00D7257F"/>
    <w:rsid w:val="00D72ADE"/>
    <w:rsid w:val="00D73AF4"/>
    <w:rsid w:val="00D7597A"/>
    <w:rsid w:val="00D75D29"/>
    <w:rsid w:val="00D777C9"/>
    <w:rsid w:val="00D85C81"/>
    <w:rsid w:val="00D91743"/>
    <w:rsid w:val="00D92409"/>
    <w:rsid w:val="00D93EA7"/>
    <w:rsid w:val="00D9496F"/>
    <w:rsid w:val="00DA0116"/>
    <w:rsid w:val="00DA0302"/>
    <w:rsid w:val="00DA1281"/>
    <w:rsid w:val="00DA24F1"/>
    <w:rsid w:val="00DA2975"/>
    <w:rsid w:val="00DA4A3D"/>
    <w:rsid w:val="00DA4EA5"/>
    <w:rsid w:val="00DB2D5D"/>
    <w:rsid w:val="00DB2DAE"/>
    <w:rsid w:val="00DB33CF"/>
    <w:rsid w:val="00DB3675"/>
    <w:rsid w:val="00DB3C3D"/>
    <w:rsid w:val="00DB5807"/>
    <w:rsid w:val="00DB580E"/>
    <w:rsid w:val="00DD0864"/>
    <w:rsid w:val="00DD4532"/>
    <w:rsid w:val="00DD7E72"/>
    <w:rsid w:val="00DE20AD"/>
    <w:rsid w:val="00DE45EF"/>
    <w:rsid w:val="00DE554F"/>
    <w:rsid w:val="00DE66AD"/>
    <w:rsid w:val="00DE78C1"/>
    <w:rsid w:val="00DF0EE4"/>
    <w:rsid w:val="00DF6414"/>
    <w:rsid w:val="00DF6BC1"/>
    <w:rsid w:val="00DF7AD8"/>
    <w:rsid w:val="00E0183A"/>
    <w:rsid w:val="00E02D75"/>
    <w:rsid w:val="00E06316"/>
    <w:rsid w:val="00E11E07"/>
    <w:rsid w:val="00E14717"/>
    <w:rsid w:val="00E17E44"/>
    <w:rsid w:val="00E35BA6"/>
    <w:rsid w:val="00E37FD5"/>
    <w:rsid w:val="00E402E1"/>
    <w:rsid w:val="00E4146E"/>
    <w:rsid w:val="00E42FC7"/>
    <w:rsid w:val="00E475F4"/>
    <w:rsid w:val="00E516CC"/>
    <w:rsid w:val="00E51BED"/>
    <w:rsid w:val="00E569E2"/>
    <w:rsid w:val="00E62AFA"/>
    <w:rsid w:val="00E6510F"/>
    <w:rsid w:val="00E66684"/>
    <w:rsid w:val="00E67711"/>
    <w:rsid w:val="00E741CE"/>
    <w:rsid w:val="00E7574F"/>
    <w:rsid w:val="00E83457"/>
    <w:rsid w:val="00E85C6F"/>
    <w:rsid w:val="00E92C05"/>
    <w:rsid w:val="00E9543E"/>
    <w:rsid w:val="00E96164"/>
    <w:rsid w:val="00EA042E"/>
    <w:rsid w:val="00EA2B8D"/>
    <w:rsid w:val="00EA51E1"/>
    <w:rsid w:val="00EB076F"/>
    <w:rsid w:val="00EC62C2"/>
    <w:rsid w:val="00EC62F2"/>
    <w:rsid w:val="00ED2147"/>
    <w:rsid w:val="00ED3E62"/>
    <w:rsid w:val="00EE3E5B"/>
    <w:rsid w:val="00EE4332"/>
    <w:rsid w:val="00EE5913"/>
    <w:rsid w:val="00EE6800"/>
    <w:rsid w:val="00EF1305"/>
    <w:rsid w:val="00EF38B6"/>
    <w:rsid w:val="00EF43A3"/>
    <w:rsid w:val="00F028A2"/>
    <w:rsid w:val="00F10E07"/>
    <w:rsid w:val="00F161AE"/>
    <w:rsid w:val="00F176B3"/>
    <w:rsid w:val="00F22E8A"/>
    <w:rsid w:val="00F26900"/>
    <w:rsid w:val="00F26BCD"/>
    <w:rsid w:val="00F5297D"/>
    <w:rsid w:val="00F61685"/>
    <w:rsid w:val="00F61B04"/>
    <w:rsid w:val="00F62897"/>
    <w:rsid w:val="00F666C1"/>
    <w:rsid w:val="00F67C89"/>
    <w:rsid w:val="00F67E2F"/>
    <w:rsid w:val="00F7062E"/>
    <w:rsid w:val="00F70F91"/>
    <w:rsid w:val="00F71939"/>
    <w:rsid w:val="00F74781"/>
    <w:rsid w:val="00F770FF"/>
    <w:rsid w:val="00F776E2"/>
    <w:rsid w:val="00F82EDC"/>
    <w:rsid w:val="00F97D3C"/>
    <w:rsid w:val="00FA5249"/>
    <w:rsid w:val="00FB009D"/>
    <w:rsid w:val="00FB0188"/>
    <w:rsid w:val="00FB2BE4"/>
    <w:rsid w:val="00FB4900"/>
    <w:rsid w:val="00FB663C"/>
    <w:rsid w:val="00FC1355"/>
    <w:rsid w:val="00FC1E04"/>
    <w:rsid w:val="00FC4764"/>
    <w:rsid w:val="00FC6F3A"/>
    <w:rsid w:val="00FC73A6"/>
    <w:rsid w:val="00FD0C74"/>
    <w:rsid w:val="00FD52E5"/>
    <w:rsid w:val="00FD5C22"/>
    <w:rsid w:val="00FE0164"/>
    <w:rsid w:val="00FE33E8"/>
    <w:rsid w:val="00FE45EC"/>
    <w:rsid w:val="00FF10FE"/>
    <w:rsid w:val="00FF23A3"/>
    <w:rsid w:val="00FF3BA5"/>
    <w:rsid w:val="00FF5B1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55"/>
        <o:r id="V:Rule4"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0908"/>
    <w:pPr>
      <w:spacing w:after="0" w:line="360" w:lineRule="auto"/>
    </w:pPr>
    <w:rPr>
      <w:rFonts w:ascii="Helvetica" w:hAnsi="Helvetica"/>
      <w:sz w:val="20"/>
    </w:rPr>
  </w:style>
  <w:style w:type="paragraph" w:styleId="Kop1">
    <w:name w:val="heading 1"/>
    <w:basedOn w:val="Standaard"/>
    <w:next w:val="Standaard"/>
    <w:link w:val="Kop1Char"/>
    <w:uiPriority w:val="9"/>
    <w:qFormat/>
    <w:rsid w:val="002C3DFA"/>
    <w:pPr>
      <w:keepNext/>
      <w:keepLines/>
      <w:outlineLvl w:val="0"/>
    </w:pPr>
    <w:rPr>
      <w:rFonts w:eastAsiaTheme="majorEastAsia" w:cstheme="majorBidi"/>
      <w:b/>
      <w:bCs/>
      <w:color w:val="17365D" w:themeColor="text2" w:themeShade="BF"/>
      <w:sz w:val="28"/>
      <w:szCs w:val="28"/>
    </w:rPr>
  </w:style>
  <w:style w:type="paragraph" w:styleId="Kop2">
    <w:name w:val="heading 2"/>
    <w:basedOn w:val="Standaard"/>
    <w:next w:val="Standaard"/>
    <w:link w:val="Kop2Char"/>
    <w:uiPriority w:val="9"/>
    <w:unhideWhenUsed/>
    <w:qFormat/>
    <w:rsid w:val="007810BF"/>
    <w:pPr>
      <w:keepNext/>
      <w:keepLines/>
      <w:outlineLvl w:val="1"/>
    </w:pPr>
    <w:rPr>
      <w:rFonts w:eastAsiaTheme="majorEastAsia" w:cstheme="majorBidi"/>
      <w:b/>
      <w:bCs/>
      <w:color w:val="548DD4" w:themeColor="text2" w:themeTint="99"/>
      <w:sz w:val="22"/>
      <w:szCs w:val="26"/>
    </w:rPr>
  </w:style>
  <w:style w:type="paragraph" w:styleId="Kop3">
    <w:name w:val="heading 3"/>
    <w:basedOn w:val="Standaard"/>
    <w:next w:val="Standaard"/>
    <w:link w:val="Kop3Char"/>
    <w:uiPriority w:val="9"/>
    <w:unhideWhenUsed/>
    <w:qFormat/>
    <w:rsid w:val="005E7558"/>
    <w:pPr>
      <w:keepNext/>
      <w:keepLines/>
      <w:outlineLvl w:val="2"/>
    </w:pPr>
    <w:rPr>
      <w:rFonts w:eastAsiaTheme="majorEastAsia" w:cstheme="majorBidi"/>
      <w:b/>
      <w:bCs/>
      <w:color w:val="8DB3E2" w:themeColor="text2" w:themeTint="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EA51E1"/>
    <w:pPr>
      <w:spacing w:line="240" w:lineRule="auto"/>
    </w:pPr>
    <w:rPr>
      <w:szCs w:val="20"/>
    </w:rPr>
  </w:style>
  <w:style w:type="character" w:customStyle="1" w:styleId="VoetnoottekstChar">
    <w:name w:val="Voetnoottekst Char"/>
    <w:basedOn w:val="Standaardalinea-lettertype"/>
    <w:link w:val="Voetnoottekst"/>
    <w:uiPriority w:val="99"/>
    <w:semiHidden/>
    <w:rsid w:val="00EA51E1"/>
    <w:rPr>
      <w:sz w:val="20"/>
      <w:szCs w:val="20"/>
    </w:rPr>
  </w:style>
  <w:style w:type="character" w:styleId="Voetnootmarkering">
    <w:name w:val="footnote reference"/>
    <w:basedOn w:val="Standaardalinea-lettertype"/>
    <w:uiPriority w:val="99"/>
    <w:unhideWhenUsed/>
    <w:rsid w:val="00EA51E1"/>
    <w:rPr>
      <w:vertAlign w:val="superscript"/>
    </w:rPr>
  </w:style>
  <w:style w:type="paragraph" w:styleId="Koptekst">
    <w:name w:val="header"/>
    <w:basedOn w:val="Standaard"/>
    <w:link w:val="KoptekstChar"/>
    <w:uiPriority w:val="99"/>
    <w:semiHidden/>
    <w:unhideWhenUsed/>
    <w:rsid w:val="00AA620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A6200"/>
  </w:style>
  <w:style w:type="paragraph" w:styleId="Voettekst">
    <w:name w:val="footer"/>
    <w:basedOn w:val="Standaard"/>
    <w:link w:val="VoettekstChar"/>
    <w:uiPriority w:val="99"/>
    <w:unhideWhenUsed/>
    <w:rsid w:val="00AA620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A6200"/>
  </w:style>
  <w:style w:type="character" w:customStyle="1" w:styleId="Kop1Char">
    <w:name w:val="Kop 1 Char"/>
    <w:basedOn w:val="Standaardalinea-lettertype"/>
    <w:link w:val="Kop1"/>
    <w:uiPriority w:val="9"/>
    <w:rsid w:val="002C3DFA"/>
    <w:rPr>
      <w:rFonts w:ascii="Helvetica" w:eastAsiaTheme="majorEastAsia" w:hAnsi="Helvetica" w:cstheme="majorBidi"/>
      <w:b/>
      <w:bCs/>
      <w:color w:val="17365D" w:themeColor="text2" w:themeShade="BF"/>
      <w:sz w:val="28"/>
      <w:szCs w:val="28"/>
    </w:rPr>
  </w:style>
  <w:style w:type="character" w:styleId="Verwijzingopmerking">
    <w:name w:val="annotation reference"/>
    <w:basedOn w:val="Standaardalinea-lettertype"/>
    <w:uiPriority w:val="99"/>
    <w:semiHidden/>
    <w:unhideWhenUsed/>
    <w:rsid w:val="00276F4C"/>
    <w:rPr>
      <w:sz w:val="16"/>
      <w:szCs w:val="16"/>
    </w:rPr>
  </w:style>
  <w:style w:type="paragraph" w:styleId="Tekstopmerking">
    <w:name w:val="annotation text"/>
    <w:basedOn w:val="Standaard"/>
    <w:link w:val="TekstopmerkingChar"/>
    <w:uiPriority w:val="99"/>
    <w:semiHidden/>
    <w:unhideWhenUsed/>
    <w:rsid w:val="00276F4C"/>
    <w:pPr>
      <w:spacing w:line="240" w:lineRule="auto"/>
    </w:pPr>
    <w:rPr>
      <w:szCs w:val="20"/>
    </w:rPr>
  </w:style>
  <w:style w:type="character" w:customStyle="1" w:styleId="TekstopmerkingChar">
    <w:name w:val="Tekst opmerking Char"/>
    <w:basedOn w:val="Standaardalinea-lettertype"/>
    <w:link w:val="Tekstopmerking"/>
    <w:uiPriority w:val="99"/>
    <w:semiHidden/>
    <w:rsid w:val="00276F4C"/>
    <w:rPr>
      <w:sz w:val="20"/>
      <w:szCs w:val="20"/>
    </w:rPr>
  </w:style>
  <w:style w:type="paragraph" w:styleId="Onderwerpvanopmerking">
    <w:name w:val="annotation subject"/>
    <w:basedOn w:val="Tekstopmerking"/>
    <w:next w:val="Tekstopmerking"/>
    <w:link w:val="OnderwerpvanopmerkingChar"/>
    <w:uiPriority w:val="99"/>
    <w:semiHidden/>
    <w:unhideWhenUsed/>
    <w:rsid w:val="00276F4C"/>
    <w:rPr>
      <w:b/>
      <w:bCs/>
    </w:rPr>
  </w:style>
  <w:style w:type="character" w:customStyle="1" w:styleId="OnderwerpvanopmerkingChar">
    <w:name w:val="Onderwerp van opmerking Char"/>
    <w:basedOn w:val="TekstopmerkingChar"/>
    <w:link w:val="Onderwerpvanopmerking"/>
    <w:uiPriority w:val="99"/>
    <w:semiHidden/>
    <w:rsid w:val="00276F4C"/>
    <w:rPr>
      <w:b/>
      <w:bCs/>
      <w:sz w:val="20"/>
      <w:szCs w:val="20"/>
    </w:rPr>
  </w:style>
  <w:style w:type="paragraph" w:styleId="Ballontekst">
    <w:name w:val="Balloon Text"/>
    <w:basedOn w:val="Standaard"/>
    <w:link w:val="BallontekstChar"/>
    <w:uiPriority w:val="99"/>
    <w:semiHidden/>
    <w:unhideWhenUsed/>
    <w:rsid w:val="00276F4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6F4C"/>
    <w:rPr>
      <w:rFonts w:ascii="Tahoma" w:hAnsi="Tahoma" w:cs="Tahoma"/>
      <w:sz w:val="16"/>
      <w:szCs w:val="16"/>
    </w:rPr>
  </w:style>
  <w:style w:type="paragraph" w:styleId="Lijstalinea">
    <w:name w:val="List Paragraph"/>
    <w:basedOn w:val="Standaard"/>
    <w:uiPriority w:val="34"/>
    <w:qFormat/>
    <w:rsid w:val="00207860"/>
    <w:pPr>
      <w:ind w:left="720"/>
      <w:contextualSpacing/>
    </w:pPr>
  </w:style>
  <w:style w:type="character" w:styleId="Hyperlink">
    <w:name w:val="Hyperlink"/>
    <w:basedOn w:val="Standaardalinea-lettertype"/>
    <w:uiPriority w:val="99"/>
    <w:unhideWhenUsed/>
    <w:rsid w:val="008F74C7"/>
    <w:rPr>
      <w:color w:val="0000FF" w:themeColor="hyperlink"/>
      <w:u w:val="single"/>
    </w:rPr>
  </w:style>
  <w:style w:type="table" w:customStyle="1" w:styleId="Lichtraster1">
    <w:name w:val="Licht raster1"/>
    <w:basedOn w:val="Standaardtabel"/>
    <w:uiPriority w:val="62"/>
    <w:rsid w:val="00CE604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chtraster2">
    <w:name w:val="Licht raster2"/>
    <w:basedOn w:val="Standaardtabel"/>
    <w:uiPriority w:val="62"/>
    <w:rsid w:val="007B36E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Kopvaninhoudsopgave">
    <w:name w:val="TOC Heading"/>
    <w:basedOn w:val="Kop1"/>
    <w:next w:val="Standaard"/>
    <w:uiPriority w:val="39"/>
    <w:semiHidden/>
    <w:unhideWhenUsed/>
    <w:qFormat/>
    <w:rsid w:val="00093B96"/>
    <w:pPr>
      <w:outlineLvl w:val="9"/>
    </w:pPr>
  </w:style>
  <w:style w:type="table" w:customStyle="1" w:styleId="Lichtraster3">
    <w:name w:val="Licht raster3"/>
    <w:basedOn w:val="Standaardtabel"/>
    <w:uiPriority w:val="62"/>
    <w:rsid w:val="00FF5B1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Geenafstand">
    <w:name w:val="No Spacing"/>
    <w:link w:val="GeenafstandChar"/>
    <w:uiPriority w:val="1"/>
    <w:qFormat/>
    <w:rsid w:val="00AE4D2E"/>
    <w:pPr>
      <w:pBdr>
        <w:top w:val="nil"/>
        <w:left w:val="nil"/>
        <w:bottom w:val="nil"/>
        <w:right w:val="nil"/>
        <w:between w:val="nil"/>
        <w:bar w:val="nil"/>
      </w:pBdr>
      <w:spacing w:after="0" w:line="240" w:lineRule="auto"/>
    </w:pPr>
    <w:rPr>
      <w:rFonts w:ascii="Arial" w:eastAsia="Arial Unicode MS" w:hAnsi="Arial Unicode MS" w:cs="Arial Unicode MS"/>
      <w:color w:val="000000"/>
      <w:u w:color="000000"/>
      <w:bdr w:val="nil"/>
    </w:rPr>
  </w:style>
  <w:style w:type="character" w:customStyle="1" w:styleId="Koppeling">
    <w:name w:val="Koppeling"/>
    <w:rsid w:val="00AE4D2E"/>
    <w:rPr>
      <w:color w:val="0000FF"/>
      <w:u w:val="single" w:color="0000FF"/>
    </w:rPr>
  </w:style>
  <w:style w:type="character" w:customStyle="1" w:styleId="Hyperlink0">
    <w:name w:val="Hyperlink.0"/>
    <w:basedOn w:val="Koppeling"/>
    <w:rsid w:val="00AE4D2E"/>
    <w:rPr>
      <w:rFonts w:ascii="Helvetica" w:eastAsia="Helvetica" w:hAnsi="Helvetica" w:cs="Helvetica"/>
      <w:color w:val="0000FF"/>
      <w:u w:val="single" w:color="0000FF"/>
    </w:rPr>
  </w:style>
  <w:style w:type="character" w:customStyle="1" w:styleId="GeenafstandChar">
    <w:name w:val="Geen afstand Char"/>
    <w:basedOn w:val="Standaardalinea-lettertype"/>
    <w:link w:val="Geenafstand"/>
    <w:uiPriority w:val="1"/>
    <w:rsid w:val="00AE4D2E"/>
    <w:rPr>
      <w:rFonts w:ascii="Arial" w:eastAsia="Arial Unicode MS" w:hAnsi="Arial Unicode MS" w:cs="Arial Unicode MS"/>
      <w:color w:val="000000"/>
      <w:u w:color="000000"/>
      <w:bdr w:val="nil"/>
    </w:rPr>
  </w:style>
  <w:style w:type="character" w:customStyle="1" w:styleId="Kop2Char">
    <w:name w:val="Kop 2 Char"/>
    <w:basedOn w:val="Standaardalinea-lettertype"/>
    <w:link w:val="Kop2"/>
    <w:uiPriority w:val="9"/>
    <w:rsid w:val="007810BF"/>
    <w:rPr>
      <w:rFonts w:ascii="Helvetica" w:eastAsiaTheme="majorEastAsia" w:hAnsi="Helvetica" w:cstheme="majorBidi"/>
      <w:b/>
      <w:bCs/>
      <w:color w:val="548DD4" w:themeColor="text2" w:themeTint="99"/>
      <w:szCs w:val="26"/>
    </w:rPr>
  </w:style>
  <w:style w:type="character" w:customStyle="1" w:styleId="Kop3Char">
    <w:name w:val="Kop 3 Char"/>
    <w:basedOn w:val="Standaardalinea-lettertype"/>
    <w:link w:val="Kop3"/>
    <w:uiPriority w:val="9"/>
    <w:rsid w:val="005E7558"/>
    <w:rPr>
      <w:rFonts w:ascii="Helvetica" w:eastAsiaTheme="majorEastAsia" w:hAnsi="Helvetica" w:cstheme="majorBidi"/>
      <w:b/>
      <w:bCs/>
      <w:color w:val="8DB3E2" w:themeColor="text2" w:themeTint="66"/>
      <w:sz w:val="20"/>
    </w:rPr>
  </w:style>
  <w:style w:type="table" w:customStyle="1" w:styleId="Lichtraster4">
    <w:name w:val="Licht raster4"/>
    <w:basedOn w:val="Standaardtabel"/>
    <w:uiPriority w:val="62"/>
    <w:rsid w:val="00064C4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Inhopg2">
    <w:name w:val="toc 2"/>
    <w:basedOn w:val="Standaard"/>
    <w:next w:val="Standaard"/>
    <w:autoRedefine/>
    <w:uiPriority w:val="39"/>
    <w:unhideWhenUsed/>
    <w:rsid w:val="00922279"/>
    <w:pPr>
      <w:spacing w:after="100"/>
      <w:ind w:left="200"/>
    </w:pPr>
  </w:style>
  <w:style w:type="paragraph" w:styleId="Inhopg1">
    <w:name w:val="toc 1"/>
    <w:basedOn w:val="Standaard"/>
    <w:next w:val="Standaard"/>
    <w:autoRedefine/>
    <w:uiPriority w:val="39"/>
    <w:unhideWhenUsed/>
    <w:rsid w:val="00922279"/>
    <w:pPr>
      <w:spacing w:after="100"/>
    </w:pPr>
  </w:style>
  <w:style w:type="paragraph" w:styleId="Inhopg3">
    <w:name w:val="toc 3"/>
    <w:basedOn w:val="Standaard"/>
    <w:next w:val="Standaard"/>
    <w:autoRedefine/>
    <w:uiPriority w:val="39"/>
    <w:unhideWhenUsed/>
    <w:rsid w:val="00922279"/>
    <w:pPr>
      <w:spacing w:after="100"/>
      <w:ind w:left="400"/>
    </w:pPr>
  </w:style>
</w:styles>
</file>

<file path=word/webSettings.xml><?xml version="1.0" encoding="utf-8"?>
<w:webSettings xmlns:r="http://schemas.openxmlformats.org/officeDocument/2006/relationships" xmlns:w="http://schemas.openxmlformats.org/wordprocessingml/2006/main">
  <w:divs>
    <w:div w:id="252516653">
      <w:bodyDiv w:val="1"/>
      <w:marLeft w:val="0"/>
      <w:marRight w:val="0"/>
      <w:marTop w:val="0"/>
      <w:marBottom w:val="0"/>
      <w:divBdr>
        <w:top w:val="none" w:sz="0" w:space="0" w:color="auto"/>
        <w:left w:val="none" w:sz="0" w:space="0" w:color="auto"/>
        <w:bottom w:val="none" w:sz="0" w:space="0" w:color="auto"/>
        <w:right w:val="none" w:sz="0" w:space="0" w:color="auto"/>
      </w:divBdr>
    </w:div>
    <w:div w:id="340208386">
      <w:bodyDiv w:val="1"/>
      <w:marLeft w:val="0"/>
      <w:marRight w:val="0"/>
      <w:marTop w:val="0"/>
      <w:marBottom w:val="0"/>
      <w:divBdr>
        <w:top w:val="none" w:sz="0" w:space="0" w:color="auto"/>
        <w:left w:val="none" w:sz="0" w:space="0" w:color="auto"/>
        <w:bottom w:val="none" w:sz="0" w:space="0" w:color="auto"/>
        <w:right w:val="none" w:sz="0" w:space="0" w:color="auto"/>
      </w:divBdr>
    </w:div>
    <w:div w:id="635986226">
      <w:bodyDiv w:val="1"/>
      <w:marLeft w:val="0"/>
      <w:marRight w:val="0"/>
      <w:marTop w:val="0"/>
      <w:marBottom w:val="0"/>
      <w:divBdr>
        <w:top w:val="none" w:sz="0" w:space="0" w:color="auto"/>
        <w:left w:val="none" w:sz="0" w:space="0" w:color="auto"/>
        <w:bottom w:val="none" w:sz="0" w:space="0" w:color="auto"/>
        <w:right w:val="none" w:sz="0" w:space="0" w:color="auto"/>
      </w:divBdr>
    </w:div>
    <w:div w:id="692733335">
      <w:bodyDiv w:val="1"/>
      <w:marLeft w:val="0"/>
      <w:marRight w:val="0"/>
      <w:marTop w:val="0"/>
      <w:marBottom w:val="0"/>
      <w:divBdr>
        <w:top w:val="none" w:sz="0" w:space="0" w:color="auto"/>
        <w:left w:val="none" w:sz="0" w:space="0" w:color="auto"/>
        <w:bottom w:val="none" w:sz="0" w:space="0" w:color="auto"/>
        <w:right w:val="none" w:sz="0" w:space="0" w:color="auto"/>
      </w:divBdr>
    </w:div>
    <w:div w:id="780223423">
      <w:bodyDiv w:val="1"/>
      <w:marLeft w:val="0"/>
      <w:marRight w:val="0"/>
      <w:marTop w:val="0"/>
      <w:marBottom w:val="0"/>
      <w:divBdr>
        <w:top w:val="none" w:sz="0" w:space="0" w:color="auto"/>
        <w:left w:val="none" w:sz="0" w:space="0" w:color="auto"/>
        <w:bottom w:val="none" w:sz="0" w:space="0" w:color="auto"/>
        <w:right w:val="none" w:sz="0" w:space="0" w:color="auto"/>
      </w:divBdr>
    </w:div>
    <w:div w:id="1285842913">
      <w:bodyDiv w:val="1"/>
      <w:marLeft w:val="0"/>
      <w:marRight w:val="0"/>
      <w:marTop w:val="0"/>
      <w:marBottom w:val="0"/>
      <w:divBdr>
        <w:top w:val="none" w:sz="0" w:space="0" w:color="auto"/>
        <w:left w:val="none" w:sz="0" w:space="0" w:color="auto"/>
        <w:bottom w:val="none" w:sz="0" w:space="0" w:color="auto"/>
        <w:right w:val="none" w:sz="0" w:space="0" w:color="auto"/>
      </w:divBdr>
    </w:div>
    <w:div w:id="1659765657">
      <w:bodyDiv w:val="1"/>
      <w:marLeft w:val="0"/>
      <w:marRight w:val="0"/>
      <w:marTop w:val="0"/>
      <w:marBottom w:val="0"/>
      <w:divBdr>
        <w:top w:val="none" w:sz="0" w:space="0" w:color="auto"/>
        <w:left w:val="none" w:sz="0" w:space="0" w:color="auto"/>
        <w:bottom w:val="none" w:sz="0" w:space="0" w:color="auto"/>
        <w:right w:val="none" w:sz="0" w:space="0" w:color="auto"/>
      </w:divBdr>
    </w:div>
    <w:div w:id="18538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hyperlink" Target="https://www.navigator.nl/document/openCitation/%20id2a801488ede1204b81cfdd791d1a80d6" TargetMode="External"/><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rkan\Desktop\Tabel%20en%20grafiek.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style val="26"/>
  <c:chart>
    <c:title>
      <c:tx>
        <c:rich>
          <a:bodyPr/>
          <a:lstStyle/>
          <a:p>
            <a:pPr>
              <a:defRPr sz="800"/>
            </a:pPr>
            <a:r>
              <a:rPr lang="nl-NL" sz="800"/>
              <a:t>Grafiek 1. toetsing op de beoordelingsfactoren,  </a:t>
            </a:r>
          </a:p>
          <a:p>
            <a:pPr>
              <a:defRPr sz="800"/>
            </a:pPr>
            <a:r>
              <a:rPr lang="nl-NL" sz="800"/>
              <a:t>beroep op art. 7:232 lid 2 BW wordt afgewezen)</a:t>
            </a:r>
          </a:p>
        </c:rich>
      </c:tx>
      <c:layout>
        <c:manualLayout>
          <c:xMode val="edge"/>
          <c:yMode val="edge"/>
          <c:x val="0.13663130470760121"/>
          <c:y val="4.3290759720067865E-2"/>
        </c:manualLayout>
      </c:layout>
    </c:title>
    <c:plotArea>
      <c:layout/>
      <c:barChart>
        <c:barDir val="col"/>
        <c:grouping val="clustered"/>
        <c:ser>
          <c:idx val="0"/>
          <c:order val="0"/>
          <c:tx>
            <c:v>Aard van het gehuurde</c:v>
          </c:tx>
          <c:cat>
            <c:strLit>
              <c:ptCount val="1"/>
              <c:pt idx="0">
                <c:v>Beoordelingsfactoren</c:v>
              </c:pt>
            </c:strLit>
          </c:cat>
          <c:val>
            <c:numLit>
              <c:formatCode>General</c:formatCode>
              <c:ptCount val="1"/>
              <c:pt idx="0">
                <c:v>12</c:v>
              </c:pt>
            </c:numLit>
          </c:val>
          <c:extLst xmlns:c16r2="http://schemas.microsoft.com/office/drawing/2015/06/chart">
            <c:ext xmlns:c16="http://schemas.microsoft.com/office/drawing/2014/chart" uri="{C3380CC4-5D6E-409C-BE32-E72D297353CC}">
              <c16:uniqueId val="{00000000-2625-4092-ACE1-16B019A204B0}"/>
            </c:ext>
          </c:extLst>
        </c:ser>
        <c:ser>
          <c:idx val="1"/>
          <c:order val="1"/>
          <c:tx>
            <c:v>Aard van het gebruik</c:v>
          </c:tx>
          <c:cat>
            <c:strLit>
              <c:ptCount val="1"/>
              <c:pt idx="0">
                <c:v>Beoordelingsfactoren</c:v>
              </c:pt>
            </c:strLit>
          </c:cat>
          <c:val>
            <c:numLit>
              <c:formatCode>General</c:formatCode>
              <c:ptCount val="1"/>
              <c:pt idx="0">
                <c:v>14</c:v>
              </c:pt>
            </c:numLit>
          </c:val>
          <c:extLst xmlns:c16r2="http://schemas.microsoft.com/office/drawing/2015/06/chart">
            <c:ext xmlns:c16="http://schemas.microsoft.com/office/drawing/2014/chart" uri="{C3380CC4-5D6E-409C-BE32-E72D297353CC}">
              <c16:uniqueId val="{00000001-2625-4092-ACE1-16B019A204B0}"/>
            </c:ext>
          </c:extLst>
        </c:ser>
        <c:ser>
          <c:idx val="2"/>
          <c:order val="2"/>
          <c:tx>
            <c:v>Bedoelingen van partijen</c:v>
          </c:tx>
          <c:cat>
            <c:strLit>
              <c:ptCount val="1"/>
              <c:pt idx="0">
                <c:v>Beoordelingsfactoren</c:v>
              </c:pt>
            </c:strLit>
          </c:cat>
          <c:val>
            <c:numLit>
              <c:formatCode>General</c:formatCode>
              <c:ptCount val="1"/>
              <c:pt idx="0">
                <c:v>11</c:v>
              </c:pt>
            </c:numLit>
          </c:val>
          <c:extLst xmlns:c16r2="http://schemas.microsoft.com/office/drawing/2015/06/chart">
            <c:ext xmlns:c16="http://schemas.microsoft.com/office/drawing/2014/chart" uri="{C3380CC4-5D6E-409C-BE32-E72D297353CC}">
              <c16:uniqueId val="{00000002-2625-4092-ACE1-16B019A204B0}"/>
            </c:ext>
          </c:extLst>
        </c:ser>
        <c:ser>
          <c:idx val="3"/>
          <c:order val="3"/>
          <c:tx>
            <c:v>Duur van het gebruik</c:v>
          </c:tx>
          <c:cat>
            <c:strLit>
              <c:ptCount val="1"/>
              <c:pt idx="0">
                <c:v>Beoordelingsfactoren</c:v>
              </c:pt>
            </c:strLit>
          </c:cat>
          <c:val>
            <c:numLit>
              <c:formatCode>General</c:formatCode>
              <c:ptCount val="1"/>
              <c:pt idx="0">
                <c:v>16</c:v>
              </c:pt>
            </c:numLit>
          </c:val>
          <c:extLst xmlns:c16r2="http://schemas.microsoft.com/office/drawing/2015/06/chart">
            <c:ext xmlns:c16="http://schemas.microsoft.com/office/drawing/2014/chart" uri="{C3380CC4-5D6E-409C-BE32-E72D297353CC}">
              <c16:uniqueId val="{00000003-2625-4092-ACE1-16B019A204B0}"/>
            </c:ext>
          </c:extLst>
        </c:ser>
        <c:ser>
          <c:idx val="4"/>
          <c:order val="4"/>
          <c:tx>
            <c:v>Overig</c:v>
          </c:tx>
          <c:cat>
            <c:strLit>
              <c:ptCount val="1"/>
              <c:pt idx="0">
                <c:v>Beoordelingsfactoren</c:v>
              </c:pt>
            </c:strLit>
          </c:cat>
          <c:val>
            <c:numLit>
              <c:formatCode>General</c:formatCode>
              <c:ptCount val="1"/>
              <c:pt idx="0">
                <c:v>2</c:v>
              </c:pt>
            </c:numLit>
          </c:val>
          <c:extLst xmlns:c16r2="http://schemas.microsoft.com/office/drawing/2015/06/chart">
            <c:ext xmlns:c16="http://schemas.microsoft.com/office/drawing/2014/chart" uri="{C3380CC4-5D6E-409C-BE32-E72D297353CC}">
              <c16:uniqueId val="{00000004-2625-4092-ACE1-16B019A204B0}"/>
            </c:ext>
          </c:extLst>
        </c:ser>
        <c:overlap val="-10"/>
        <c:axId val="125637760"/>
        <c:axId val="125639296"/>
      </c:barChart>
      <c:catAx>
        <c:axId val="125637760"/>
        <c:scaling>
          <c:orientation val="minMax"/>
        </c:scaling>
        <c:axPos val="b"/>
        <c:numFmt formatCode="General" sourceLinked="0"/>
        <c:majorTickMark val="none"/>
        <c:tickLblPos val="nextTo"/>
        <c:crossAx val="125639296"/>
        <c:crosses val="autoZero"/>
        <c:auto val="1"/>
        <c:lblAlgn val="ctr"/>
        <c:lblOffset val="100"/>
      </c:catAx>
      <c:valAx>
        <c:axId val="125639296"/>
        <c:scaling>
          <c:orientation val="minMax"/>
        </c:scaling>
        <c:axPos val="l"/>
        <c:majorGridlines/>
        <c:numFmt formatCode="General" sourceLinked="1"/>
        <c:majorTickMark val="none"/>
        <c:tickLblPos val="nextTo"/>
        <c:txPr>
          <a:bodyPr/>
          <a:lstStyle/>
          <a:p>
            <a:pPr>
              <a:defRPr sz="600"/>
            </a:pPr>
            <a:endParaRPr lang="nl-NL"/>
          </a:p>
        </c:txPr>
        <c:crossAx val="125637760"/>
        <c:crosses val="autoZero"/>
        <c:crossBetween val="between"/>
      </c:valAx>
      <c:dTable>
        <c:showHorzBorder val="1"/>
        <c:showVertBorder val="1"/>
        <c:showOutline val="1"/>
        <c:showKeys val="1"/>
        <c:txPr>
          <a:bodyPr/>
          <a:lstStyle/>
          <a:p>
            <a:pPr rtl="0">
              <a:defRPr sz="600"/>
            </a:pPr>
            <a:endParaRPr lang="nl-NL"/>
          </a:p>
        </c:txPr>
      </c:dTable>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nl-NL"/>
  <c:style val="26"/>
  <c:chart>
    <c:title>
      <c:tx>
        <c:rich>
          <a:bodyPr/>
          <a:lstStyle/>
          <a:p>
            <a:pPr>
              <a:defRPr sz="1000"/>
            </a:pPr>
            <a:r>
              <a:rPr lang="nl-NL" sz="800"/>
              <a:t>Grafiek 10. Duur van het gebruik, feiten</a:t>
            </a:r>
            <a:r>
              <a:rPr lang="nl-NL" sz="800" baseline="0"/>
              <a:t> en omstandigheden,</a:t>
            </a:r>
            <a:r>
              <a:rPr lang="nl-NL" sz="800"/>
              <a:t> </a:t>
            </a:r>
          </a:p>
          <a:p>
            <a:pPr>
              <a:defRPr sz="1000"/>
            </a:pPr>
            <a:r>
              <a:rPr lang="nl-NL" sz="800"/>
              <a:t>beroep op art. 7:232 lid 2 BW wordt toegewezen.</a:t>
            </a:r>
          </a:p>
        </c:rich>
      </c:tx>
      <c:layout>
        <c:manualLayout>
          <c:xMode val="edge"/>
          <c:yMode val="edge"/>
          <c:x val="0.18444137265753338"/>
          <c:y val="2.5092251894596733E-2"/>
        </c:manualLayout>
      </c:layout>
    </c:title>
    <c:plotArea>
      <c:layout/>
      <c:barChart>
        <c:barDir val="col"/>
        <c:grouping val="clustered"/>
        <c:ser>
          <c:idx val="1"/>
          <c:order val="0"/>
          <c:tx>
            <c:v>Verlenging/voortzetting</c:v>
          </c:tx>
          <c:spPr>
            <a:solidFill>
              <a:schemeClr val="accent6">
                <a:lumMod val="75000"/>
              </a:schemeClr>
            </a:solidFill>
          </c:spPr>
          <c:cat>
            <c:strLit>
              <c:ptCount val="1"/>
              <c:pt idx="0">
                <c:v>Categorieën</c:v>
              </c:pt>
            </c:strLit>
          </c:cat>
          <c:val>
            <c:numLit>
              <c:formatCode>General</c:formatCode>
              <c:ptCount val="1"/>
              <c:pt idx="0">
                <c:v>5</c:v>
              </c:pt>
            </c:numLit>
          </c:val>
          <c:extLst xmlns:c16r2="http://schemas.microsoft.com/office/drawing/2015/06/chart">
            <c:ext xmlns:c16="http://schemas.microsoft.com/office/drawing/2014/chart" uri="{C3380CC4-5D6E-409C-BE32-E72D297353CC}">
              <c16:uniqueId val="{00000000-7D13-4E3B-9BBA-AA6EBEC89BCE}"/>
            </c:ext>
          </c:extLst>
        </c:ser>
        <c:ser>
          <c:idx val="2"/>
          <c:order val="1"/>
          <c:tx>
            <c:v>Duidelijkheid over de periode en/of einddatum</c:v>
          </c:tx>
          <c:spPr>
            <a:solidFill>
              <a:schemeClr val="accent5">
                <a:lumMod val="75000"/>
              </a:schemeClr>
            </a:solidFill>
          </c:spPr>
          <c:cat>
            <c:strLit>
              <c:ptCount val="1"/>
              <c:pt idx="0">
                <c:v>Categorieën</c:v>
              </c:pt>
            </c:strLit>
          </c:cat>
          <c:val>
            <c:numLit>
              <c:formatCode>General</c:formatCode>
              <c:ptCount val="1"/>
              <c:pt idx="0">
                <c:v>2</c:v>
              </c:pt>
            </c:numLit>
          </c:val>
          <c:extLst xmlns:c16r2="http://schemas.microsoft.com/office/drawing/2015/06/chart">
            <c:ext xmlns:c16="http://schemas.microsoft.com/office/drawing/2014/chart" uri="{C3380CC4-5D6E-409C-BE32-E72D297353CC}">
              <c16:uniqueId val="{00000001-7D13-4E3B-9BBA-AA6EBEC89BCE}"/>
            </c:ext>
          </c:extLst>
        </c:ser>
        <c:ser>
          <c:idx val="3"/>
          <c:order val="2"/>
          <c:tx>
            <c:v>Werkelijke duur over de overeenkomst</c:v>
          </c:tx>
          <c:spPr>
            <a:solidFill>
              <a:srgbClr val="7030A0"/>
            </a:solidFill>
          </c:spPr>
          <c:cat>
            <c:strLit>
              <c:ptCount val="1"/>
              <c:pt idx="0">
                <c:v>Categorieën</c:v>
              </c:pt>
            </c:strLit>
          </c:cat>
          <c:val>
            <c:numLit>
              <c:formatCode>General</c:formatCode>
              <c:ptCount val="1"/>
              <c:pt idx="0">
                <c:v>13</c:v>
              </c:pt>
            </c:numLit>
          </c:val>
          <c:extLst xmlns:c16r2="http://schemas.microsoft.com/office/drawing/2015/06/chart">
            <c:ext xmlns:c16="http://schemas.microsoft.com/office/drawing/2014/chart" uri="{C3380CC4-5D6E-409C-BE32-E72D297353CC}">
              <c16:uniqueId val="{00000002-7D13-4E3B-9BBA-AA6EBEC89BCE}"/>
            </c:ext>
          </c:extLst>
        </c:ser>
        <c:overlap val="-10"/>
        <c:axId val="126514304"/>
        <c:axId val="126515840"/>
      </c:barChart>
      <c:catAx>
        <c:axId val="126514304"/>
        <c:scaling>
          <c:orientation val="minMax"/>
        </c:scaling>
        <c:axPos val="b"/>
        <c:numFmt formatCode="General" sourceLinked="0"/>
        <c:majorTickMark val="none"/>
        <c:tickLblPos val="nextTo"/>
        <c:crossAx val="126515840"/>
        <c:crosses val="autoZero"/>
        <c:auto val="1"/>
        <c:lblAlgn val="ctr"/>
        <c:lblOffset val="100"/>
      </c:catAx>
      <c:valAx>
        <c:axId val="126515840"/>
        <c:scaling>
          <c:orientation val="minMax"/>
        </c:scaling>
        <c:axPos val="l"/>
        <c:majorGridlines/>
        <c:numFmt formatCode="General" sourceLinked="1"/>
        <c:majorTickMark val="none"/>
        <c:tickLblPos val="nextTo"/>
        <c:txPr>
          <a:bodyPr/>
          <a:lstStyle/>
          <a:p>
            <a:pPr>
              <a:defRPr sz="600"/>
            </a:pPr>
            <a:endParaRPr lang="nl-NL"/>
          </a:p>
        </c:txPr>
        <c:crossAx val="126514304"/>
        <c:crosses val="autoZero"/>
        <c:crossBetween val="between"/>
      </c:valAx>
      <c:dTable>
        <c:showHorzBorder val="1"/>
        <c:showVertBorder val="1"/>
        <c:showOutline val="1"/>
        <c:showKeys val="1"/>
        <c:txPr>
          <a:bodyPr/>
          <a:lstStyle/>
          <a:p>
            <a:pPr rtl="0">
              <a:defRPr sz="600" baseline="0"/>
            </a:pPr>
            <a:endParaRPr lang="nl-NL"/>
          </a:p>
        </c:txPr>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nl-NL"/>
  <c:style val="26"/>
  <c:chart>
    <c:title>
      <c:tx>
        <c:rich>
          <a:bodyPr/>
          <a:lstStyle/>
          <a:p>
            <a:pPr>
              <a:defRPr sz="800"/>
            </a:pPr>
            <a:r>
              <a:rPr lang="nl-NL" sz="800" b="1" i="0" baseline="0"/>
              <a:t>Grafiek 2. toetsing beoordelingsfactoren , </a:t>
            </a:r>
            <a:endParaRPr lang="nl-NL" sz="800"/>
          </a:p>
          <a:p>
            <a:pPr>
              <a:defRPr sz="800"/>
            </a:pPr>
            <a:r>
              <a:rPr lang="nl-NL" sz="800" b="1" i="0" baseline="0"/>
              <a:t>beroep op art. 7:232 lid 2 BW wordt toegewezen.</a:t>
            </a:r>
            <a:endParaRPr lang="nl-NL" sz="800"/>
          </a:p>
        </c:rich>
      </c:tx>
      <c:layout>
        <c:manualLayout>
          <c:xMode val="edge"/>
          <c:yMode val="edge"/>
          <c:x val="0.18444137265753319"/>
          <c:y val="3.7638377841895901E-2"/>
        </c:manualLayout>
      </c:layout>
    </c:title>
    <c:plotArea>
      <c:layout/>
      <c:barChart>
        <c:barDir val="col"/>
        <c:grouping val="clustered"/>
        <c:ser>
          <c:idx val="0"/>
          <c:order val="0"/>
          <c:tx>
            <c:v>Aard van het gehuurde</c:v>
          </c:tx>
          <c:cat>
            <c:strLit>
              <c:ptCount val="1"/>
              <c:pt idx="0">
                <c:v>Beoordelingsfactoren</c:v>
              </c:pt>
            </c:strLit>
          </c:cat>
          <c:val>
            <c:numLit>
              <c:formatCode>General</c:formatCode>
              <c:ptCount val="1"/>
              <c:pt idx="0">
                <c:v>14</c:v>
              </c:pt>
            </c:numLit>
          </c:val>
          <c:extLst xmlns:c16r2="http://schemas.microsoft.com/office/drawing/2015/06/chart">
            <c:ext xmlns:c16="http://schemas.microsoft.com/office/drawing/2014/chart" uri="{C3380CC4-5D6E-409C-BE32-E72D297353CC}">
              <c16:uniqueId val="{00000000-3F4C-44F8-8CB8-54A101882917}"/>
            </c:ext>
          </c:extLst>
        </c:ser>
        <c:ser>
          <c:idx val="1"/>
          <c:order val="1"/>
          <c:tx>
            <c:v>Aard van het gebruik</c:v>
          </c:tx>
          <c:cat>
            <c:strLit>
              <c:ptCount val="1"/>
              <c:pt idx="0">
                <c:v>Beoordelingsfactoren</c:v>
              </c:pt>
            </c:strLit>
          </c:cat>
          <c:val>
            <c:numLit>
              <c:formatCode>General</c:formatCode>
              <c:ptCount val="1"/>
              <c:pt idx="0">
                <c:v>19</c:v>
              </c:pt>
            </c:numLit>
          </c:val>
          <c:extLst xmlns:c16r2="http://schemas.microsoft.com/office/drawing/2015/06/chart">
            <c:ext xmlns:c16="http://schemas.microsoft.com/office/drawing/2014/chart" uri="{C3380CC4-5D6E-409C-BE32-E72D297353CC}">
              <c16:uniqueId val="{00000001-3F4C-44F8-8CB8-54A101882917}"/>
            </c:ext>
          </c:extLst>
        </c:ser>
        <c:ser>
          <c:idx val="2"/>
          <c:order val="2"/>
          <c:tx>
            <c:v>Bedoelingen van partijen</c:v>
          </c:tx>
          <c:cat>
            <c:strLit>
              <c:ptCount val="1"/>
              <c:pt idx="0">
                <c:v>Beoordelingsfactoren</c:v>
              </c:pt>
            </c:strLit>
          </c:cat>
          <c:val>
            <c:numLit>
              <c:formatCode>General</c:formatCode>
              <c:ptCount val="1"/>
              <c:pt idx="0">
                <c:v>18</c:v>
              </c:pt>
            </c:numLit>
          </c:val>
          <c:extLst xmlns:c16r2="http://schemas.microsoft.com/office/drawing/2015/06/chart">
            <c:ext xmlns:c16="http://schemas.microsoft.com/office/drawing/2014/chart" uri="{C3380CC4-5D6E-409C-BE32-E72D297353CC}">
              <c16:uniqueId val="{00000002-3F4C-44F8-8CB8-54A101882917}"/>
            </c:ext>
          </c:extLst>
        </c:ser>
        <c:ser>
          <c:idx val="3"/>
          <c:order val="3"/>
          <c:tx>
            <c:v>Duur van het gebruik</c:v>
          </c:tx>
          <c:cat>
            <c:strLit>
              <c:ptCount val="1"/>
              <c:pt idx="0">
                <c:v>Beoordelingsfactoren</c:v>
              </c:pt>
            </c:strLit>
          </c:cat>
          <c:val>
            <c:numLit>
              <c:formatCode>General</c:formatCode>
              <c:ptCount val="1"/>
              <c:pt idx="0">
                <c:v>15</c:v>
              </c:pt>
            </c:numLit>
          </c:val>
          <c:extLst xmlns:c16r2="http://schemas.microsoft.com/office/drawing/2015/06/chart">
            <c:ext xmlns:c16="http://schemas.microsoft.com/office/drawing/2014/chart" uri="{C3380CC4-5D6E-409C-BE32-E72D297353CC}">
              <c16:uniqueId val="{00000003-3F4C-44F8-8CB8-54A101882917}"/>
            </c:ext>
          </c:extLst>
        </c:ser>
        <c:overlap val="-10"/>
        <c:axId val="125675392"/>
        <c:axId val="125676928"/>
      </c:barChart>
      <c:catAx>
        <c:axId val="125675392"/>
        <c:scaling>
          <c:orientation val="minMax"/>
        </c:scaling>
        <c:axPos val="b"/>
        <c:numFmt formatCode="General" sourceLinked="0"/>
        <c:majorTickMark val="none"/>
        <c:tickLblPos val="nextTo"/>
        <c:crossAx val="125676928"/>
        <c:crosses val="autoZero"/>
        <c:auto val="1"/>
        <c:lblAlgn val="ctr"/>
        <c:lblOffset val="100"/>
      </c:catAx>
      <c:valAx>
        <c:axId val="125676928"/>
        <c:scaling>
          <c:orientation val="minMax"/>
        </c:scaling>
        <c:axPos val="l"/>
        <c:majorGridlines/>
        <c:numFmt formatCode="General" sourceLinked="1"/>
        <c:majorTickMark val="none"/>
        <c:tickLblPos val="nextTo"/>
        <c:txPr>
          <a:bodyPr/>
          <a:lstStyle/>
          <a:p>
            <a:pPr>
              <a:defRPr sz="600"/>
            </a:pPr>
            <a:endParaRPr lang="nl-NL"/>
          </a:p>
        </c:txPr>
        <c:crossAx val="125675392"/>
        <c:crosses val="autoZero"/>
        <c:crossBetween val="between"/>
      </c:valAx>
      <c:dTable>
        <c:showHorzBorder val="1"/>
        <c:showVertBorder val="1"/>
        <c:showOutline val="1"/>
        <c:showKeys val="1"/>
        <c:txPr>
          <a:bodyPr/>
          <a:lstStyle/>
          <a:p>
            <a:pPr rtl="0">
              <a:defRPr sz="600"/>
            </a:pPr>
            <a:endParaRPr lang="nl-NL"/>
          </a:p>
        </c:txPr>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nl-NL"/>
  <c:style val="26"/>
  <c:chart>
    <c:title>
      <c:tx>
        <c:rich>
          <a:bodyPr/>
          <a:lstStyle/>
          <a:p>
            <a:pPr>
              <a:defRPr/>
            </a:pPr>
            <a:r>
              <a:rPr lang="nl-NL" sz="800"/>
              <a:t>Grafiek 3. aard</a:t>
            </a:r>
            <a:r>
              <a:rPr lang="nl-NL" sz="800" baseline="0"/>
              <a:t> van het gehuurde, feiten en omstandigheden,</a:t>
            </a:r>
          </a:p>
          <a:p>
            <a:pPr>
              <a:defRPr/>
            </a:pPr>
            <a:r>
              <a:rPr lang="nl-NL" sz="800"/>
              <a:t>beroep op art. 7:232 lid 2 BW wordt afgewezen.</a:t>
            </a:r>
          </a:p>
        </c:rich>
      </c:tx>
      <c:layout>
        <c:manualLayout>
          <c:xMode val="edge"/>
          <c:yMode val="edge"/>
          <c:x val="0.18444137265753327"/>
          <c:y val="2.5092251894596733E-2"/>
        </c:manualLayout>
      </c:layout>
    </c:title>
    <c:plotArea>
      <c:layout/>
      <c:barChart>
        <c:barDir val="col"/>
        <c:grouping val="clustered"/>
        <c:ser>
          <c:idx val="0"/>
          <c:order val="0"/>
          <c:tx>
            <c:v>Geschiktheid van de woonruimte voor permanent verblijf</c:v>
          </c:tx>
          <c:spPr>
            <a:solidFill>
              <a:schemeClr val="accent2">
                <a:lumMod val="75000"/>
              </a:schemeClr>
            </a:solidFill>
          </c:spPr>
          <c:cat>
            <c:strLit>
              <c:ptCount val="1"/>
              <c:pt idx="0">
                <c:v>Beoordelingsfactoren</c:v>
              </c:pt>
            </c:strLit>
          </c:cat>
          <c:val>
            <c:numLit>
              <c:formatCode>General</c:formatCode>
              <c:ptCount val="1"/>
              <c:pt idx="0">
                <c:v>8</c:v>
              </c:pt>
            </c:numLit>
          </c:val>
          <c:extLst xmlns:c16r2="http://schemas.microsoft.com/office/drawing/2015/06/chart">
            <c:ext xmlns:c16="http://schemas.microsoft.com/office/drawing/2014/chart" uri="{C3380CC4-5D6E-409C-BE32-E72D297353CC}">
              <c16:uniqueId val="{00000000-D7AB-4FFE-90CC-21834070529B}"/>
            </c:ext>
          </c:extLst>
        </c:ser>
        <c:ser>
          <c:idx val="1"/>
          <c:order val="1"/>
          <c:tx>
            <c:v>Verglijking van de woonruimte met een soortgelijke reguliere woning</c:v>
          </c:tx>
          <c:spPr>
            <a:solidFill>
              <a:schemeClr val="tx2">
                <a:lumMod val="75000"/>
              </a:schemeClr>
            </a:solidFill>
          </c:spPr>
          <c:cat>
            <c:strLit>
              <c:ptCount val="1"/>
              <c:pt idx="0">
                <c:v>Beoordelingsfactoren</c:v>
              </c:pt>
            </c:strLit>
          </c:cat>
          <c:val>
            <c:numLit>
              <c:formatCode>General</c:formatCode>
              <c:ptCount val="1"/>
              <c:pt idx="0">
                <c:v>1</c:v>
              </c:pt>
            </c:numLit>
          </c:val>
          <c:extLst xmlns:c16r2="http://schemas.microsoft.com/office/drawing/2015/06/chart">
            <c:ext xmlns:c16="http://schemas.microsoft.com/office/drawing/2014/chart" uri="{C3380CC4-5D6E-409C-BE32-E72D297353CC}">
              <c16:uniqueId val="{00000001-D7AB-4FFE-90CC-21834070529B}"/>
            </c:ext>
          </c:extLst>
        </c:ser>
        <c:ser>
          <c:idx val="2"/>
          <c:order val="2"/>
          <c:tx>
            <c:v>Het zodanig aanmerken van de woonruimte door partijen</c:v>
          </c:tx>
          <c:spPr>
            <a:solidFill>
              <a:schemeClr val="accent6">
                <a:lumMod val="75000"/>
              </a:schemeClr>
            </a:solidFill>
          </c:spPr>
          <c:cat>
            <c:strLit>
              <c:ptCount val="1"/>
              <c:pt idx="0">
                <c:v>Beoordelingsfactoren</c:v>
              </c:pt>
            </c:strLit>
          </c:cat>
          <c:val>
            <c:numLit>
              <c:formatCode>General</c:formatCode>
              <c:ptCount val="1"/>
              <c:pt idx="0">
                <c:v>1</c:v>
              </c:pt>
            </c:numLit>
          </c:val>
          <c:extLst xmlns:c16r2="http://schemas.microsoft.com/office/drawing/2015/06/chart">
            <c:ext xmlns:c16="http://schemas.microsoft.com/office/drawing/2014/chart" uri="{C3380CC4-5D6E-409C-BE32-E72D297353CC}">
              <c16:uniqueId val="{00000002-D7AB-4FFE-90CC-21834070529B}"/>
            </c:ext>
          </c:extLst>
        </c:ser>
        <c:ser>
          <c:idx val="3"/>
          <c:order val="3"/>
          <c:tx>
            <c:v>Recreatiewoning</c:v>
          </c:tx>
          <c:spPr>
            <a:solidFill>
              <a:schemeClr val="accent5">
                <a:lumMod val="75000"/>
              </a:schemeClr>
            </a:solidFill>
          </c:spPr>
          <c:val>
            <c:numLit>
              <c:formatCode>General</c:formatCode>
              <c:ptCount val="1"/>
              <c:pt idx="0">
                <c:v>1</c:v>
              </c:pt>
            </c:numLit>
          </c:val>
          <c:extLst xmlns:c16r2="http://schemas.microsoft.com/office/drawing/2015/06/chart">
            <c:ext xmlns:c16="http://schemas.microsoft.com/office/drawing/2014/chart" uri="{C3380CC4-5D6E-409C-BE32-E72D297353CC}">
              <c16:uniqueId val="{00000003-D7AB-4FFE-90CC-21834070529B}"/>
            </c:ext>
          </c:extLst>
        </c:ser>
        <c:overlap val="-10"/>
        <c:axId val="126048896"/>
        <c:axId val="126054784"/>
      </c:barChart>
      <c:catAx>
        <c:axId val="126048896"/>
        <c:scaling>
          <c:orientation val="minMax"/>
        </c:scaling>
        <c:axPos val="b"/>
        <c:numFmt formatCode="General" sourceLinked="0"/>
        <c:majorTickMark val="none"/>
        <c:tickLblPos val="nextTo"/>
        <c:crossAx val="126054784"/>
        <c:crosses val="autoZero"/>
        <c:auto val="1"/>
        <c:lblAlgn val="ctr"/>
        <c:lblOffset val="100"/>
      </c:catAx>
      <c:valAx>
        <c:axId val="126054784"/>
        <c:scaling>
          <c:orientation val="minMax"/>
        </c:scaling>
        <c:axPos val="l"/>
        <c:majorGridlines/>
        <c:numFmt formatCode="General" sourceLinked="1"/>
        <c:majorTickMark val="none"/>
        <c:tickLblPos val="nextTo"/>
        <c:txPr>
          <a:bodyPr/>
          <a:lstStyle/>
          <a:p>
            <a:pPr>
              <a:defRPr sz="600"/>
            </a:pPr>
            <a:endParaRPr lang="nl-NL"/>
          </a:p>
        </c:txPr>
        <c:crossAx val="126048896"/>
        <c:crosses val="autoZero"/>
        <c:crossBetween val="between"/>
      </c:valAx>
      <c:dTable>
        <c:showHorzBorder val="1"/>
        <c:showVertBorder val="1"/>
        <c:showOutline val="1"/>
        <c:showKeys val="1"/>
        <c:txPr>
          <a:bodyPr/>
          <a:lstStyle/>
          <a:p>
            <a:pPr rtl="0">
              <a:defRPr sz="600" baseline="0"/>
            </a:pPr>
            <a:endParaRPr lang="nl-NL"/>
          </a:p>
        </c:txPr>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nl-NL"/>
  <c:style val="26"/>
  <c:chart>
    <c:title>
      <c:tx>
        <c:rich>
          <a:bodyPr/>
          <a:lstStyle/>
          <a:p>
            <a:pPr>
              <a:defRPr/>
            </a:pPr>
            <a:r>
              <a:rPr lang="nl-NL" sz="800"/>
              <a:t>Grafiek 4. aard</a:t>
            </a:r>
            <a:r>
              <a:rPr lang="nl-NL" sz="800" baseline="0"/>
              <a:t> van het gehuurde, feiten en omstandigheden</a:t>
            </a:r>
            <a:r>
              <a:rPr lang="nl-NL" sz="800"/>
              <a:t>  </a:t>
            </a:r>
          </a:p>
          <a:p>
            <a:pPr>
              <a:defRPr/>
            </a:pPr>
            <a:r>
              <a:rPr lang="nl-NL" sz="800"/>
              <a:t>(beroep op art. 7:232 lid 2 BW wordt toegewezen.</a:t>
            </a:r>
          </a:p>
        </c:rich>
      </c:tx>
      <c:layout>
        <c:manualLayout>
          <c:xMode val="edge"/>
          <c:yMode val="edge"/>
          <c:x val="0.17603990427472571"/>
          <c:y val="2.5092412533291912E-2"/>
        </c:manualLayout>
      </c:layout>
    </c:title>
    <c:plotArea>
      <c:layout/>
      <c:barChart>
        <c:barDir val="col"/>
        <c:grouping val="clustered"/>
        <c:ser>
          <c:idx val="0"/>
          <c:order val="0"/>
          <c:tx>
            <c:v>Geschiktheid van de woonruimte voor permanent verblijf</c:v>
          </c:tx>
          <c:spPr>
            <a:solidFill>
              <a:schemeClr val="accent2">
                <a:lumMod val="75000"/>
              </a:schemeClr>
            </a:solidFill>
          </c:spPr>
          <c:cat>
            <c:strLit>
              <c:ptCount val="1"/>
              <c:pt idx="0">
                <c:v>Beoordelingsfactoren</c:v>
              </c:pt>
            </c:strLit>
          </c:cat>
          <c:val>
            <c:numLit>
              <c:formatCode>General</c:formatCode>
              <c:ptCount val="1"/>
              <c:pt idx="0">
                <c:v>10</c:v>
              </c:pt>
            </c:numLit>
          </c:val>
          <c:extLst xmlns:c16r2="http://schemas.microsoft.com/office/drawing/2015/06/chart">
            <c:ext xmlns:c16="http://schemas.microsoft.com/office/drawing/2014/chart" uri="{C3380CC4-5D6E-409C-BE32-E72D297353CC}">
              <c16:uniqueId val="{00000000-370A-4BD8-9A42-BC794CB9F4D1}"/>
            </c:ext>
          </c:extLst>
        </c:ser>
        <c:ser>
          <c:idx val="3"/>
          <c:order val="1"/>
          <c:tx>
            <c:v>Recreatiewoning</c:v>
          </c:tx>
          <c:spPr>
            <a:solidFill>
              <a:schemeClr val="accent5">
                <a:lumMod val="75000"/>
              </a:schemeClr>
            </a:solidFill>
          </c:spPr>
          <c:val>
            <c:numLit>
              <c:formatCode>General</c:formatCode>
              <c:ptCount val="1"/>
              <c:pt idx="0">
                <c:v>1</c:v>
              </c:pt>
            </c:numLit>
          </c:val>
          <c:extLst xmlns:c16r2="http://schemas.microsoft.com/office/drawing/2015/06/chart">
            <c:ext xmlns:c16="http://schemas.microsoft.com/office/drawing/2014/chart" uri="{C3380CC4-5D6E-409C-BE32-E72D297353CC}">
              <c16:uniqueId val="{00000001-370A-4BD8-9A42-BC794CB9F4D1}"/>
            </c:ext>
          </c:extLst>
        </c:ser>
        <c:ser>
          <c:idx val="1"/>
          <c:order val="2"/>
          <c:tx>
            <c:v>Wisselwoning</c:v>
          </c:tx>
          <c:spPr>
            <a:solidFill>
              <a:srgbClr val="00B050"/>
            </a:solidFill>
          </c:spPr>
          <c:val>
            <c:numLit>
              <c:formatCode>General</c:formatCode>
              <c:ptCount val="1"/>
              <c:pt idx="0">
                <c:v>1</c:v>
              </c:pt>
            </c:numLit>
          </c:val>
          <c:extLst xmlns:c16r2="http://schemas.microsoft.com/office/drawing/2015/06/chart">
            <c:ext xmlns:c16="http://schemas.microsoft.com/office/drawing/2014/chart" uri="{C3380CC4-5D6E-409C-BE32-E72D297353CC}">
              <c16:uniqueId val="{00000002-370A-4BD8-9A42-BC794CB9F4D1}"/>
            </c:ext>
          </c:extLst>
        </c:ser>
        <c:ser>
          <c:idx val="2"/>
          <c:order val="3"/>
          <c:tx>
            <c:v>Gemeubileerde woonruimte</c:v>
          </c:tx>
          <c:spPr>
            <a:solidFill>
              <a:srgbClr val="FF0000"/>
            </a:solidFill>
          </c:spPr>
          <c:val>
            <c:numLit>
              <c:formatCode>General</c:formatCode>
              <c:ptCount val="1"/>
              <c:pt idx="0">
                <c:v>3</c:v>
              </c:pt>
            </c:numLit>
          </c:val>
          <c:extLst xmlns:c16r2="http://schemas.microsoft.com/office/drawing/2015/06/chart">
            <c:ext xmlns:c16="http://schemas.microsoft.com/office/drawing/2014/chart" uri="{C3380CC4-5D6E-409C-BE32-E72D297353CC}">
              <c16:uniqueId val="{00000003-370A-4BD8-9A42-BC794CB9F4D1}"/>
            </c:ext>
          </c:extLst>
        </c:ser>
        <c:ser>
          <c:idx val="4"/>
          <c:order val="4"/>
          <c:tx>
            <c:v>Overig</c:v>
          </c:tx>
          <c:spPr>
            <a:solidFill>
              <a:schemeClr val="bg1">
                <a:lumMod val="50000"/>
              </a:schemeClr>
            </a:solidFill>
          </c:spPr>
          <c:val>
            <c:numLit>
              <c:formatCode>General</c:formatCode>
              <c:ptCount val="1"/>
              <c:pt idx="0">
                <c:v>2</c:v>
              </c:pt>
            </c:numLit>
          </c:val>
          <c:extLst xmlns:c16r2="http://schemas.microsoft.com/office/drawing/2015/06/chart">
            <c:ext xmlns:c16="http://schemas.microsoft.com/office/drawing/2014/chart" uri="{C3380CC4-5D6E-409C-BE32-E72D297353CC}">
              <c16:uniqueId val="{00000004-370A-4BD8-9A42-BC794CB9F4D1}"/>
            </c:ext>
          </c:extLst>
        </c:ser>
        <c:overlap val="-10"/>
        <c:axId val="126177664"/>
        <c:axId val="126179200"/>
      </c:barChart>
      <c:catAx>
        <c:axId val="126177664"/>
        <c:scaling>
          <c:orientation val="minMax"/>
        </c:scaling>
        <c:axPos val="b"/>
        <c:numFmt formatCode="General" sourceLinked="0"/>
        <c:majorTickMark val="none"/>
        <c:tickLblPos val="nextTo"/>
        <c:crossAx val="126179200"/>
        <c:crosses val="autoZero"/>
        <c:auto val="1"/>
        <c:lblAlgn val="ctr"/>
        <c:lblOffset val="100"/>
      </c:catAx>
      <c:valAx>
        <c:axId val="126179200"/>
        <c:scaling>
          <c:orientation val="minMax"/>
        </c:scaling>
        <c:axPos val="l"/>
        <c:majorGridlines/>
        <c:numFmt formatCode="General" sourceLinked="1"/>
        <c:majorTickMark val="none"/>
        <c:tickLblPos val="nextTo"/>
        <c:txPr>
          <a:bodyPr/>
          <a:lstStyle/>
          <a:p>
            <a:pPr>
              <a:defRPr sz="600"/>
            </a:pPr>
            <a:endParaRPr lang="nl-NL"/>
          </a:p>
        </c:txPr>
        <c:crossAx val="126177664"/>
        <c:crosses val="autoZero"/>
        <c:crossBetween val="between"/>
      </c:valAx>
      <c:dTable>
        <c:showHorzBorder val="1"/>
        <c:showVertBorder val="1"/>
        <c:showOutline val="1"/>
        <c:showKeys val="1"/>
        <c:txPr>
          <a:bodyPr/>
          <a:lstStyle/>
          <a:p>
            <a:pPr rtl="0">
              <a:defRPr sz="600" baseline="0"/>
            </a:pPr>
            <a:endParaRPr lang="nl-NL"/>
          </a:p>
        </c:txPr>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nl-NL"/>
  <c:style val="26"/>
  <c:chart>
    <c:title>
      <c:tx>
        <c:rich>
          <a:bodyPr/>
          <a:lstStyle/>
          <a:p>
            <a:pPr>
              <a:defRPr sz="800"/>
            </a:pPr>
            <a:r>
              <a:rPr lang="nl-NL" sz="800"/>
              <a:t>Grafiek 5. aard van het gebruik, feiten en omstandigheden,  </a:t>
            </a:r>
          </a:p>
          <a:p>
            <a:pPr>
              <a:defRPr sz="800"/>
            </a:pPr>
            <a:r>
              <a:rPr lang="nl-NL" sz="800"/>
              <a:t>beroep op art. 7:232 lid 2 BW wordt afgewezen.</a:t>
            </a:r>
          </a:p>
        </c:rich>
      </c:tx>
      <c:layout>
        <c:manualLayout>
          <c:xMode val="edge"/>
          <c:yMode val="edge"/>
          <c:x val="0.20346589268043519"/>
          <c:y val="4.0857476188511523E-2"/>
        </c:manualLayout>
      </c:layout>
    </c:title>
    <c:plotArea>
      <c:layout/>
      <c:barChart>
        <c:barDir val="col"/>
        <c:grouping val="clustered"/>
        <c:ser>
          <c:idx val="0"/>
          <c:order val="0"/>
          <c:tx>
            <c:v>Aanwezigheid van de mogelijkheid van beroep op een andere regeling in de wet</c:v>
          </c:tx>
          <c:cat>
            <c:strLit>
              <c:ptCount val="1"/>
              <c:pt idx="0">
                <c:v>Beoordelingsfactoren</c:v>
              </c:pt>
            </c:strLit>
          </c:cat>
          <c:val>
            <c:numLit>
              <c:formatCode>General</c:formatCode>
              <c:ptCount val="1"/>
              <c:pt idx="0">
                <c:v>4</c:v>
              </c:pt>
            </c:numLit>
          </c:val>
          <c:extLst xmlns:c16r2="http://schemas.microsoft.com/office/drawing/2015/06/chart">
            <c:ext xmlns:c16="http://schemas.microsoft.com/office/drawing/2014/chart" uri="{C3380CC4-5D6E-409C-BE32-E72D297353CC}">
              <c16:uniqueId val="{00000000-7458-49E6-B9B5-A2AD18ABDDFD}"/>
            </c:ext>
          </c:extLst>
        </c:ser>
        <c:ser>
          <c:idx val="1"/>
          <c:order val="1"/>
          <c:tx>
            <c:v>Beperking in het gebruik van de woning</c:v>
          </c:tx>
          <c:cat>
            <c:strLit>
              <c:ptCount val="1"/>
              <c:pt idx="0">
                <c:v>Beoordelingsfactoren</c:v>
              </c:pt>
            </c:strLit>
          </c:cat>
          <c:val>
            <c:numLit>
              <c:formatCode>General</c:formatCode>
              <c:ptCount val="1"/>
              <c:pt idx="0">
                <c:v>6</c:v>
              </c:pt>
            </c:numLit>
          </c:val>
          <c:extLst xmlns:c16r2="http://schemas.microsoft.com/office/drawing/2015/06/chart">
            <c:ext xmlns:c16="http://schemas.microsoft.com/office/drawing/2014/chart" uri="{C3380CC4-5D6E-409C-BE32-E72D297353CC}">
              <c16:uniqueId val="{00000001-7458-49E6-B9B5-A2AD18ABDDFD}"/>
            </c:ext>
          </c:extLst>
        </c:ser>
        <c:ser>
          <c:idx val="2"/>
          <c:order val="2"/>
          <c:tx>
            <c:v>Beperking in de beschikbaarheid van de woning</c:v>
          </c:tx>
          <c:cat>
            <c:strLit>
              <c:ptCount val="1"/>
              <c:pt idx="0">
                <c:v>Beoordelingsfactoren</c:v>
              </c:pt>
            </c:strLit>
          </c:cat>
          <c:val>
            <c:numLit>
              <c:formatCode>General</c:formatCode>
              <c:ptCount val="1"/>
              <c:pt idx="0">
                <c:v>6</c:v>
              </c:pt>
            </c:numLit>
          </c:val>
          <c:extLst xmlns:c16r2="http://schemas.microsoft.com/office/drawing/2015/06/chart">
            <c:ext xmlns:c16="http://schemas.microsoft.com/office/drawing/2014/chart" uri="{C3380CC4-5D6E-409C-BE32-E72D297353CC}">
              <c16:uniqueId val="{00000002-7458-49E6-B9B5-A2AD18ABDDFD}"/>
            </c:ext>
          </c:extLst>
        </c:ser>
        <c:ser>
          <c:idx val="3"/>
          <c:order val="3"/>
          <c:tx>
            <c:v>Huurprijs</c:v>
          </c:tx>
          <c:cat>
            <c:strLit>
              <c:ptCount val="1"/>
              <c:pt idx="0">
                <c:v>Beoordelingsfactoren</c:v>
              </c:pt>
            </c:strLit>
          </c:cat>
          <c:val>
            <c:numLit>
              <c:formatCode>General</c:formatCode>
              <c:ptCount val="1"/>
              <c:pt idx="0">
                <c:v>2</c:v>
              </c:pt>
            </c:numLit>
          </c:val>
          <c:extLst xmlns:c16r2="http://schemas.microsoft.com/office/drawing/2015/06/chart">
            <c:ext xmlns:c16="http://schemas.microsoft.com/office/drawing/2014/chart" uri="{C3380CC4-5D6E-409C-BE32-E72D297353CC}">
              <c16:uniqueId val="{00000003-7458-49E6-B9B5-A2AD18ABDDFD}"/>
            </c:ext>
          </c:extLst>
        </c:ser>
        <c:ser>
          <c:idx val="4"/>
          <c:order val="4"/>
          <c:tx>
            <c:v>Kostendrager van het servicecontract en/of het onderhoud</c:v>
          </c:tx>
          <c:cat>
            <c:strLit>
              <c:ptCount val="1"/>
              <c:pt idx="0">
                <c:v>Beoordelingsfactoren</c:v>
              </c:pt>
            </c:strLit>
          </c:cat>
          <c:val>
            <c:numLit>
              <c:formatCode>General</c:formatCode>
              <c:ptCount val="1"/>
              <c:pt idx="0">
                <c:v>1</c:v>
              </c:pt>
            </c:numLit>
          </c:val>
          <c:extLst xmlns:c16r2="http://schemas.microsoft.com/office/drawing/2015/06/chart">
            <c:ext xmlns:c16="http://schemas.microsoft.com/office/drawing/2014/chart" uri="{C3380CC4-5D6E-409C-BE32-E72D297353CC}">
              <c16:uniqueId val="{00000004-7458-49E6-B9B5-A2AD18ABDDFD}"/>
            </c:ext>
          </c:extLst>
        </c:ser>
        <c:overlap val="-10"/>
        <c:axId val="126199680"/>
        <c:axId val="126201216"/>
      </c:barChart>
      <c:catAx>
        <c:axId val="126199680"/>
        <c:scaling>
          <c:orientation val="minMax"/>
        </c:scaling>
        <c:axPos val="b"/>
        <c:numFmt formatCode="General" sourceLinked="0"/>
        <c:majorTickMark val="none"/>
        <c:tickLblPos val="nextTo"/>
        <c:crossAx val="126201216"/>
        <c:crosses val="autoZero"/>
        <c:auto val="1"/>
        <c:lblAlgn val="ctr"/>
        <c:lblOffset val="100"/>
      </c:catAx>
      <c:valAx>
        <c:axId val="126201216"/>
        <c:scaling>
          <c:orientation val="minMax"/>
        </c:scaling>
        <c:axPos val="l"/>
        <c:majorGridlines/>
        <c:numFmt formatCode="General" sourceLinked="1"/>
        <c:majorTickMark val="none"/>
        <c:tickLblPos val="nextTo"/>
        <c:crossAx val="126199680"/>
        <c:crosses val="autoZero"/>
        <c:crossBetween val="between"/>
      </c:valAx>
      <c:dTable>
        <c:showHorzBorder val="1"/>
        <c:showVertBorder val="1"/>
        <c:showOutline val="1"/>
        <c:showKeys val="1"/>
        <c:txPr>
          <a:bodyPr/>
          <a:lstStyle/>
          <a:p>
            <a:pPr rtl="0">
              <a:defRPr sz="550"/>
            </a:pPr>
            <a:endParaRPr lang="nl-NL"/>
          </a:p>
        </c:txPr>
      </c:dTable>
    </c:plotArea>
    <c:plotVisOnly val="1"/>
    <c:dispBlanksAs val="gap"/>
  </c:chart>
  <c:txPr>
    <a:bodyPr/>
    <a:lstStyle/>
    <a:p>
      <a:pPr>
        <a:defRPr sz="600"/>
      </a:pPr>
      <a:endParaRPr lang="nl-N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nl-NL"/>
  <c:style val="26"/>
  <c:chart>
    <c:title>
      <c:tx>
        <c:rich>
          <a:bodyPr/>
          <a:lstStyle/>
          <a:p>
            <a:pPr>
              <a:defRPr/>
            </a:pPr>
            <a:r>
              <a:rPr lang="nl-NL"/>
              <a:t>Grafiek 6. aard van het gebruik , feiten en omstandigheden, </a:t>
            </a:r>
          </a:p>
          <a:p>
            <a:pPr>
              <a:defRPr/>
            </a:pPr>
            <a:r>
              <a:rPr lang="nl-NL"/>
              <a:t>beroep op art. 7:232 lid 2 BW wordt toegewezen.</a:t>
            </a:r>
          </a:p>
        </c:rich>
      </c:tx>
      <c:layout>
        <c:manualLayout>
          <c:xMode val="edge"/>
          <c:yMode val="edge"/>
          <c:x val="0.19137918272373161"/>
          <c:y val="2.8420267264057449E-2"/>
        </c:manualLayout>
      </c:layout>
    </c:title>
    <c:plotArea>
      <c:layout/>
      <c:barChart>
        <c:barDir val="col"/>
        <c:grouping val="clustered"/>
        <c:ser>
          <c:idx val="0"/>
          <c:order val="0"/>
          <c:tx>
            <c:v>Aanwezigheid van de mogelijkheid van beroep op een andere regeling in de wet</c:v>
          </c:tx>
          <c:cat>
            <c:strLit>
              <c:ptCount val="1"/>
              <c:pt idx="0">
                <c:v>Beoordelingsfactoren</c:v>
              </c:pt>
            </c:strLit>
          </c:cat>
          <c:val>
            <c:numLit>
              <c:formatCode>General</c:formatCode>
              <c:ptCount val="1"/>
              <c:pt idx="0">
                <c:v>1</c:v>
              </c:pt>
            </c:numLit>
          </c:val>
          <c:extLst xmlns:c16r2="http://schemas.microsoft.com/office/drawing/2015/06/chart">
            <c:ext xmlns:c16="http://schemas.microsoft.com/office/drawing/2014/chart" uri="{C3380CC4-5D6E-409C-BE32-E72D297353CC}">
              <c16:uniqueId val="{00000000-2390-4F64-BDEA-830E55F1AF9C}"/>
            </c:ext>
          </c:extLst>
        </c:ser>
        <c:ser>
          <c:idx val="1"/>
          <c:order val="1"/>
          <c:tx>
            <c:v>Beperking in het gebruik van de woning</c:v>
          </c:tx>
          <c:cat>
            <c:strLit>
              <c:ptCount val="1"/>
              <c:pt idx="0">
                <c:v>Beoordelingsfactoren</c:v>
              </c:pt>
            </c:strLit>
          </c:cat>
          <c:val>
            <c:numLit>
              <c:formatCode>General</c:formatCode>
              <c:ptCount val="1"/>
              <c:pt idx="0">
                <c:v>1</c:v>
              </c:pt>
            </c:numLit>
          </c:val>
          <c:extLst xmlns:c16r2="http://schemas.microsoft.com/office/drawing/2015/06/chart">
            <c:ext xmlns:c16="http://schemas.microsoft.com/office/drawing/2014/chart" uri="{C3380CC4-5D6E-409C-BE32-E72D297353CC}">
              <c16:uniqueId val="{00000001-2390-4F64-BDEA-830E55F1AF9C}"/>
            </c:ext>
          </c:extLst>
        </c:ser>
        <c:ser>
          <c:idx val="2"/>
          <c:order val="2"/>
          <c:tx>
            <c:v>Beperking in de beschikbaarheid van de woning</c:v>
          </c:tx>
          <c:cat>
            <c:strLit>
              <c:ptCount val="1"/>
              <c:pt idx="0">
                <c:v>Beoordelingsfactoren</c:v>
              </c:pt>
            </c:strLit>
          </c:cat>
          <c:val>
            <c:numLit>
              <c:formatCode>General</c:formatCode>
              <c:ptCount val="1"/>
              <c:pt idx="0">
                <c:v>14</c:v>
              </c:pt>
            </c:numLit>
          </c:val>
          <c:extLst xmlns:c16r2="http://schemas.microsoft.com/office/drawing/2015/06/chart">
            <c:ext xmlns:c16="http://schemas.microsoft.com/office/drawing/2014/chart" uri="{C3380CC4-5D6E-409C-BE32-E72D297353CC}">
              <c16:uniqueId val="{00000002-2390-4F64-BDEA-830E55F1AF9C}"/>
            </c:ext>
          </c:extLst>
        </c:ser>
        <c:ser>
          <c:idx val="3"/>
          <c:order val="3"/>
          <c:tx>
            <c:v>Huurprijs</c:v>
          </c:tx>
          <c:cat>
            <c:strLit>
              <c:ptCount val="1"/>
              <c:pt idx="0">
                <c:v>Beoordelingsfactoren</c:v>
              </c:pt>
            </c:strLit>
          </c:cat>
          <c:val>
            <c:numLit>
              <c:formatCode>General</c:formatCode>
              <c:ptCount val="1"/>
              <c:pt idx="0">
                <c:v>3</c:v>
              </c:pt>
            </c:numLit>
          </c:val>
          <c:extLst xmlns:c16r2="http://schemas.microsoft.com/office/drawing/2015/06/chart">
            <c:ext xmlns:c16="http://schemas.microsoft.com/office/drawing/2014/chart" uri="{C3380CC4-5D6E-409C-BE32-E72D297353CC}">
              <c16:uniqueId val="{00000003-2390-4F64-BDEA-830E55F1AF9C}"/>
            </c:ext>
          </c:extLst>
        </c:ser>
        <c:ser>
          <c:idx val="4"/>
          <c:order val="4"/>
          <c:tx>
            <c:v>Kostendrager van het servicecontract en/of het onderhoud</c:v>
          </c:tx>
          <c:cat>
            <c:strLit>
              <c:ptCount val="1"/>
              <c:pt idx="0">
                <c:v>Beoordelingsfactoren</c:v>
              </c:pt>
            </c:strLit>
          </c:cat>
          <c:val>
            <c:numLit>
              <c:formatCode>General</c:formatCode>
              <c:ptCount val="1"/>
              <c:pt idx="0">
                <c:v>1</c:v>
              </c:pt>
            </c:numLit>
          </c:val>
          <c:extLst xmlns:c16r2="http://schemas.microsoft.com/office/drawing/2015/06/chart">
            <c:ext xmlns:c16="http://schemas.microsoft.com/office/drawing/2014/chart" uri="{C3380CC4-5D6E-409C-BE32-E72D297353CC}">
              <c16:uniqueId val="{00000004-2390-4F64-BDEA-830E55F1AF9C}"/>
            </c:ext>
          </c:extLst>
        </c:ser>
        <c:ser>
          <c:idx val="5"/>
          <c:order val="5"/>
          <c:tx>
            <c:v>Noodoplossing</c:v>
          </c:tx>
          <c:val>
            <c:numLit>
              <c:formatCode>General</c:formatCode>
              <c:ptCount val="1"/>
              <c:pt idx="0">
                <c:v>4</c:v>
              </c:pt>
            </c:numLit>
          </c:val>
          <c:extLst xmlns:c16r2="http://schemas.microsoft.com/office/drawing/2015/06/chart">
            <c:ext xmlns:c16="http://schemas.microsoft.com/office/drawing/2014/chart" uri="{C3380CC4-5D6E-409C-BE32-E72D297353CC}">
              <c16:uniqueId val="{00000005-2390-4F64-BDEA-830E55F1AF9C}"/>
            </c:ext>
          </c:extLst>
        </c:ser>
        <c:ser>
          <c:idx val="6"/>
          <c:order val="6"/>
          <c:tx>
            <c:v>Verplicht af te nemen diensten</c:v>
          </c:tx>
          <c:spPr>
            <a:solidFill>
              <a:schemeClr val="accent1"/>
            </a:solidFill>
          </c:spPr>
          <c:val>
            <c:numLit>
              <c:formatCode>General</c:formatCode>
              <c:ptCount val="1"/>
              <c:pt idx="0">
                <c:v>2</c:v>
              </c:pt>
            </c:numLit>
          </c:val>
          <c:extLst xmlns:c16r2="http://schemas.microsoft.com/office/drawing/2015/06/chart">
            <c:ext xmlns:c16="http://schemas.microsoft.com/office/drawing/2014/chart" uri="{C3380CC4-5D6E-409C-BE32-E72D297353CC}">
              <c16:uniqueId val="{00000006-2390-4F64-BDEA-830E55F1AF9C}"/>
            </c:ext>
          </c:extLst>
        </c:ser>
        <c:ser>
          <c:idx val="7"/>
          <c:order val="7"/>
          <c:tx>
            <c:v>Speciale doelgroep met voorrang op de woonruimte</c:v>
          </c:tx>
          <c:spPr>
            <a:solidFill>
              <a:srgbClr val="FF0000"/>
            </a:solidFill>
          </c:spPr>
          <c:val>
            <c:numLit>
              <c:formatCode>General</c:formatCode>
              <c:ptCount val="1"/>
              <c:pt idx="0">
                <c:v>2</c:v>
              </c:pt>
            </c:numLit>
          </c:val>
          <c:extLst xmlns:c16r2="http://schemas.microsoft.com/office/drawing/2015/06/chart">
            <c:ext xmlns:c16="http://schemas.microsoft.com/office/drawing/2014/chart" uri="{C3380CC4-5D6E-409C-BE32-E72D297353CC}">
              <c16:uniqueId val="{00000007-2390-4F64-BDEA-830E55F1AF9C}"/>
            </c:ext>
          </c:extLst>
        </c:ser>
        <c:ser>
          <c:idx val="8"/>
          <c:order val="8"/>
          <c:tx>
            <c:v>Verwijzing naar parlementaire geschiedenis of een andere uitspraak</c:v>
          </c:tx>
          <c:spPr>
            <a:solidFill>
              <a:schemeClr val="bg1">
                <a:lumMod val="50000"/>
              </a:schemeClr>
            </a:solidFill>
          </c:spPr>
          <c:val>
            <c:numLit>
              <c:formatCode>General</c:formatCode>
              <c:ptCount val="1"/>
              <c:pt idx="0">
                <c:v>3</c:v>
              </c:pt>
            </c:numLit>
          </c:val>
          <c:extLst xmlns:c16r2="http://schemas.microsoft.com/office/drawing/2015/06/chart">
            <c:ext xmlns:c16="http://schemas.microsoft.com/office/drawing/2014/chart" uri="{C3380CC4-5D6E-409C-BE32-E72D297353CC}">
              <c16:uniqueId val="{00000008-2390-4F64-BDEA-830E55F1AF9C}"/>
            </c:ext>
          </c:extLst>
        </c:ser>
        <c:overlap val="-10"/>
        <c:axId val="126261888"/>
        <c:axId val="126288256"/>
      </c:barChart>
      <c:catAx>
        <c:axId val="126261888"/>
        <c:scaling>
          <c:orientation val="minMax"/>
        </c:scaling>
        <c:axPos val="b"/>
        <c:numFmt formatCode="General" sourceLinked="0"/>
        <c:majorTickMark val="none"/>
        <c:tickLblPos val="nextTo"/>
        <c:crossAx val="126288256"/>
        <c:crosses val="autoZero"/>
        <c:auto val="1"/>
        <c:lblAlgn val="ctr"/>
        <c:lblOffset val="100"/>
      </c:catAx>
      <c:valAx>
        <c:axId val="126288256"/>
        <c:scaling>
          <c:orientation val="minMax"/>
        </c:scaling>
        <c:axPos val="l"/>
        <c:majorGridlines/>
        <c:numFmt formatCode="General" sourceLinked="1"/>
        <c:majorTickMark val="none"/>
        <c:tickLblPos val="nextTo"/>
        <c:crossAx val="126261888"/>
        <c:crosses val="autoZero"/>
        <c:crossBetween val="between"/>
      </c:valAx>
      <c:dTable>
        <c:showHorzBorder val="1"/>
        <c:showVertBorder val="1"/>
        <c:showOutline val="1"/>
        <c:showKeys val="1"/>
        <c:txPr>
          <a:bodyPr/>
          <a:lstStyle/>
          <a:p>
            <a:pPr rtl="0">
              <a:defRPr sz="500"/>
            </a:pPr>
            <a:endParaRPr lang="nl-NL"/>
          </a:p>
        </c:txPr>
      </c:dTable>
    </c:plotArea>
    <c:plotVisOnly val="1"/>
    <c:dispBlanksAs val="gap"/>
  </c:chart>
  <c:txPr>
    <a:bodyPr/>
    <a:lstStyle/>
    <a:p>
      <a:pPr>
        <a:defRPr sz="600"/>
      </a:pPr>
      <a:endParaRPr lang="nl-N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nl-NL"/>
  <c:style val="26"/>
  <c:chart>
    <c:title>
      <c:tx>
        <c:rich>
          <a:bodyPr/>
          <a:lstStyle/>
          <a:p>
            <a:pPr>
              <a:defRPr/>
            </a:pPr>
            <a:r>
              <a:rPr lang="nl-NL"/>
              <a:t>Grafiek 7. bedoelingen van partijen, feiten en omstandigheden  </a:t>
            </a:r>
          </a:p>
          <a:p>
            <a:pPr>
              <a:defRPr/>
            </a:pPr>
            <a:r>
              <a:rPr lang="nl-NL"/>
              <a:t>(beroep op art. 7:232 lid 2 BW wordt afgewezen.</a:t>
            </a:r>
          </a:p>
        </c:rich>
      </c:tx>
      <c:layout>
        <c:manualLayout>
          <c:xMode val="edge"/>
          <c:yMode val="edge"/>
          <c:x val="0.18444137265753313"/>
          <c:y val="2.5092251894596733E-2"/>
        </c:manualLayout>
      </c:layout>
    </c:title>
    <c:plotArea>
      <c:layout/>
      <c:barChart>
        <c:barDir val="col"/>
        <c:grouping val="clustered"/>
        <c:ser>
          <c:idx val="0"/>
          <c:order val="0"/>
          <c:tx>
            <c:v>Aanwijzingen in de huurovereenkomst en/of correspondentie</c:v>
          </c:tx>
          <c:spPr>
            <a:solidFill>
              <a:schemeClr val="tx2">
                <a:lumMod val="75000"/>
              </a:schemeClr>
            </a:solidFill>
          </c:spPr>
          <c:cat>
            <c:strLit>
              <c:ptCount val="1"/>
              <c:pt idx="0">
                <c:v>Categorieën</c:v>
              </c:pt>
            </c:strLit>
          </c:cat>
          <c:val>
            <c:numLit>
              <c:formatCode>General</c:formatCode>
              <c:ptCount val="1"/>
              <c:pt idx="0">
                <c:v>10</c:v>
              </c:pt>
            </c:numLit>
          </c:val>
          <c:extLst xmlns:c16r2="http://schemas.microsoft.com/office/drawing/2015/06/chart">
            <c:ext xmlns:c16="http://schemas.microsoft.com/office/drawing/2014/chart" uri="{C3380CC4-5D6E-409C-BE32-E72D297353CC}">
              <c16:uniqueId val="{00000000-E82F-43CD-918F-DA80B8AB8F35}"/>
            </c:ext>
          </c:extLst>
        </c:ser>
        <c:ser>
          <c:idx val="3"/>
          <c:order val="1"/>
          <c:tx>
            <c:v>Beoogde verkoop, renovatie of sloop</c:v>
          </c:tx>
          <c:spPr>
            <a:solidFill>
              <a:schemeClr val="accent3">
                <a:lumMod val="75000"/>
              </a:schemeClr>
            </a:solidFill>
          </c:spPr>
          <c:cat>
            <c:strLit>
              <c:ptCount val="1"/>
              <c:pt idx="0">
                <c:v>Categorieën</c:v>
              </c:pt>
            </c:strLit>
          </c:cat>
          <c:val>
            <c:numLit>
              <c:formatCode>General</c:formatCode>
              <c:ptCount val="1"/>
              <c:pt idx="0">
                <c:v>3</c:v>
              </c:pt>
            </c:numLit>
          </c:val>
          <c:extLst xmlns:c16r2="http://schemas.microsoft.com/office/drawing/2015/06/chart">
            <c:ext xmlns:c16="http://schemas.microsoft.com/office/drawing/2014/chart" uri="{C3380CC4-5D6E-409C-BE32-E72D297353CC}">
              <c16:uniqueId val="{00000001-E82F-43CD-918F-DA80B8AB8F35}"/>
            </c:ext>
          </c:extLst>
        </c:ser>
        <c:ser>
          <c:idx val="1"/>
          <c:order val="2"/>
          <c:tx>
            <c:v>Verklaringen van de partijen</c:v>
          </c:tx>
          <c:spPr>
            <a:solidFill>
              <a:schemeClr val="accent2">
                <a:lumMod val="75000"/>
              </a:schemeClr>
            </a:solidFill>
          </c:spPr>
          <c:cat>
            <c:strLit>
              <c:ptCount val="1"/>
              <c:pt idx="0">
                <c:v>Categorieën</c:v>
              </c:pt>
            </c:strLit>
          </c:cat>
          <c:val>
            <c:numLit>
              <c:formatCode>General</c:formatCode>
              <c:ptCount val="1"/>
              <c:pt idx="0">
                <c:v>2</c:v>
              </c:pt>
            </c:numLit>
          </c:val>
          <c:extLst xmlns:c16r2="http://schemas.microsoft.com/office/drawing/2015/06/chart">
            <c:ext xmlns:c16="http://schemas.microsoft.com/office/drawing/2014/chart" uri="{C3380CC4-5D6E-409C-BE32-E72D297353CC}">
              <c16:uniqueId val="{00000002-E82F-43CD-918F-DA80B8AB8F35}"/>
            </c:ext>
          </c:extLst>
        </c:ser>
        <c:ser>
          <c:idx val="2"/>
          <c:order val="3"/>
          <c:tx>
            <c:v>Aanwijzingen in de advertentie/website</c:v>
          </c:tx>
          <c:spPr>
            <a:solidFill>
              <a:schemeClr val="accent4">
                <a:lumMod val="75000"/>
              </a:schemeClr>
            </a:solidFill>
          </c:spPr>
          <c:cat>
            <c:strLit>
              <c:ptCount val="1"/>
              <c:pt idx="0">
                <c:v>Categorieën</c:v>
              </c:pt>
            </c:strLit>
          </c:cat>
          <c:val>
            <c:numLit>
              <c:formatCode>General</c:formatCode>
              <c:ptCount val="1"/>
              <c:pt idx="0">
                <c:v>1</c:v>
              </c:pt>
            </c:numLit>
          </c:val>
          <c:extLst xmlns:c16r2="http://schemas.microsoft.com/office/drawing/2015/06/chart">
            <c:ext xmlns:c16="http://schemas.microsoft.com/office/drawing/2014/chart" uri="{C3380CC4-5D6E-409C-BE32-E72D297353CC}">
              <c16:uniqueId val="{00000003-E82F-43CD-918F-DA80B8AB8F35}"/>
            </c:ext>
          </c:extLst>
        </c:ser>
        <c:ser>
          <c:idx val="4"/>
          <c:order val="4"/>
          <c:tx>
            <c:v>Overig</c:v>
          </c:tx>
          <c:spPr>
            <a:solidFill>
              <a:schemeClr val="bg1">
                <a:lumMod val="50000"/>
              </a:schemeClr>
            </a:solidFill>
          </c:spPr>
          <c:cat>
            <c:strLit>
              <c:ptCount val="1"/>
              <c:pt idx="0">
                <c:v>Categorieën</c:v>
              </c:pt>
            </c:strLit>
          </c:cat>
          <c:val>
            <c:numLit>
              <c:formatCode>General</c:formatCode>
              <c:ptCount val="1"/>
              <c:pt idx="0">
                <c:v>3</c:v>
              </c:pt>
            </c:numLit>
          </c:val>
          <c:extLst xmlns:c16r2="http://schemas.microsoft.com/office/drawing/2015/06/chart">
            <c:ext xmlns:c16="http://schemas.microsoft.com/office/drawing/2014/chart" uri="{C3380CC4-5D6E-409C-BE32-E72D297353CC}">
              <c16:uniqueId val="{00000004-E82F-43CD-918F-DA80B8AB8F35}"/>
            </c:ext>
          </c:extLst>
        </c:ser>
        <c:overlap val="-10"/>
        <c:axId val="126312832"/>
        <c:axId val="126314368"/>
      </c:barChart>
      <c:catAx>
        <c:axId val="126312832"/>
        <c:scaling>
          <c:orientation val="minMax"/>
        </c:scaling>
        <c:axPos val="b"/>
        <c:numFmt formatCode="General" sourceLinked="0"/>
        <c:majorTickMark val="none"/>
        <c:tickLblPos val="nextTo"/>
        <c:crossAx val="126314368"/>
        <c:crosses val="autoZero"/>
        <c:auto val="1"/>
        <c:lblAlgn val="ctr"/>
        <c:lblOffset val="100"/>
      </c:catAx>
      <c:valAx>
        <c:axId val="126314368"/>
        <c:scaling>
          <c:orientation val="minMax"/>
        </c:scaling>
        <c:axPos val="l"/>
        <c:majorGridlines/>
        <c:numFmt formatCode="General" sourceLinked="1"/>
        <c:majorTickMark val="none"/>
        <c:tickLblPos val="nextTo"/>
        <c:crossAx val="126312832"/>
        <c:crosses val="autoZero"/>
        <c:crossBetween val="between"/>
      </c:valAx>
      <c:dTable>
        <c:showHorzBorder val="1"/>
        <c:showVertBorder val="1"/>
        <c:showOutline val="1"/>
        <c:showKeys val="1"/>
      </c:dTable>
    </c:plotArea>
    <c:plotVisOnly val="1"/>
    <c:dispBlanksAs val="gap"/>
  </c:chart>
  <c:txPr>
    <a:bodyPr/>
    <a:lstStyle/>
    <a:p>
      <a:pPr>
        <a:defRPr sz="600"/>
      </a:pPr>
      <a:endParaRPr lang="nl-N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nl-NL"/>
  <c:style val="26"/>
  <c:chart>
    <c:title>
      <c:tx>
        <c:rich>
          <a:bodyPr/>
          <a:lstStyle/>
          <a:p>
            <a:pPr>
              <a:defRPr/>
            </a:pPr>
            <a:r>
              <a:rPr lang="nl-NL"/>
              <a:t>Grafiek 8. Bedoelingen van de partijen, feiten en omstandigheden,</a:t>
            </a:r>
          </a:p>
          <a:p>
            <a:pPr>
              <a:defRPr/>
            </a:pPr>
            <a:r>
              <a:rPr lang="nl-NL"/>
              <a:t>beroep op art. 7:232 lid 2 BW wordt toegewezen.</a:t>
            </a:r>
          </a:p>
        </c:rich>
      </c:tx>
      <c:layout>
        <c:manualLayout>
          <c:xMode val="edge"/>
          <c:yMode val="edge"/>
          <c:x val="0.18444137265753346"/>
          <c:y val="2.5092251894596733E-2"/>
        </c:manualLayout>
      </c:layout>
    </c:title>
    <c:plotArea>
      <c:layout/>
      <c:barChart>
        <c:barDir val="col"/>
        <c:grouping val="clustered"/>
        <c:ser>
          <c:idx val="0"/>
          <c:order val="0"/>
          <c:tx>
            <c:v>Aanwijzingen in de huurovereenkomst en/of correspondentie</c:v>
          </c:tx>
          <c:spPr>
            <a:solidFill>
              <a:schemeClr val="tx2">
                <a:lumMod val="75000"/>
              </a:schemeClr>
            </a:solidFill>
          </c:spPr>
          <c:cat>
            <c:strLit>
              <c:ptCount val="1"/>
              <c:pt idx="0">
                <c:v>Categorieën</c:v>
              </c:pt>
            </c:strLit>
          </c:cat>
          <c:val>
            <c:numLit>
              <c:formatCode>General</c:formatCode>
              <c:ptCount val="1"/>
              <c:pt idx="0">
                <c:v>13</c:v>
              </c:pt>
            </c:numLit>
          </c:val>
          <c:extLst xmlns:c16r2="http://schemas.microsoft.com/office/drawing/2015/06/chart">
            <c:ext xmlns:c16="http://schemas.microsoft.com/office/drawing/2014/chart" uri="{C3380CC4-5D6E-409C-BE32-E72D297353CC}">
              <c16:uniqueId val="{00000000-3A43-4B0B-931F-CC374D60A8C9}"/>
            </c:ext>
          </c:extLst>
        </c:ser>
        <c:ser>
          <c:idx val="1"/>
          <c:order val="1"/>
          <c:tx>
            <c:v>Beoogde verkoop, renovatie of sloop</c:v>
          </c:tx>
          <c:spPr>
            <a:solidFill>
              <a:schemeClr val="accent3">
                <a:lumMod val="75000"/>
              </a:schemeClr>
            </a:solidFill>
          </c:spPr>
          <c:cat>
            <c:strLit>
              <c:ptCount val="1"/>
              <c:pt idx="0">
                <c:v>Categorieën</c:v>
              </c:pt>
            </c:strLit>
          </c:cat>
          <c:val>
            <c:numLit>
              <c:formatCode>General</c:formatCode>
              <c:ptCount val="1"/>
              <c:pt idx="0">
                <c:v>4</c:v>
              </c:pt>
            </c:numLit>
          </c:val>
          <c:extLst xmlns:c16r2="http://schemas.microsoft.com/office/drawing/2015/06/chart">
            <c:ext xmlns:c16="http://schemas.microsoft.com/office/drawing/2014/chart" uri="{C3380CC4-5D6E-409C-BE32-E72D297353CC}">
              <c16:uniqueId val="{00000001-3A43-4B0B-931F-CC374D60A8C9}"/>
            </c:ext>
          </c:extLst>
        </c:ser>
        <c:ser>
          <c:idx val="2"/>
          <c:order val="2"/>
          <c:tx>
            <c:v>Verklaringen van de partijen</c:v>
          </c:tx>
          <c:spPr>
            <a:solidFill>
              <a:schemeClr val="accent2">
                <a:lumMod val="75000"/>
              </a:schemeClr>
            </a:solidFill>
          </c:spPr>
          <c:cat>
            <c:strLit>
              <c:ptCount val="1"/>
              <c:pt idx="0">
                <c:v>Categorieën</c:v>
              </c:pt>
            </c:strLit>
          </c:cat>
          <c:val>
            <c:numLit>
              <c:formatCode>General</c:formatCode>
              <c:ptCount val="1"/>
              <c:pt idx="0">
                <c:v>11</c:v>
              </c:pt>
            </c:numLit>
          </c:val>
          <c:extLst xmlns:c16r2="http://schemas.microsoft.com/office/drawing/2015/06/chart">
            <c:ext xmlns:c16="http://schemas.microsoft.com/office/drawing/2014/chart" uri="{C3380CC4-5D6E-409C-BE32-E72D297353CC}">
              <c16:uniqueId val="{00000002-3A43-4B0B-931F-CC374D60A8C9}"/>
            </c:ext>
          </c:extLst>
        </c:ser>
        <c:ser>
          <c:idx val="3"/>
          <c:order val="3"/>
          <c:tx>
            <c:v>Aanwijzingen in de advertentie/website</c:v>
          </c:tx>
          <c:spPr>
            <a:solidFill>
              <a:schemeClr val="accent4">
                <a:lumMod val="75000"/>
              </a:schemeClr>
            </a:solidFill>
          </c:spPr>
          <c:cat>
            <c:strLit>
              <c:ptCount val="1"/>
              <c:pt idx="0">
                <c:v>Categorieën</c:v>
              </c:pt>
            </c:strLit>
          </c:cat>
          <c:val>
            <c:numLit>
              <c:formatCode>General</c:formatCode>
              <c:ptCount val="1"/>
              <c:pt idx="0">
                <c:v>2</c:v>
              </c:pt>
            </c:numLit>
          </c:val>
          <c:extLst xmlns:c16r2="http://schemas.microsoft.com/office/drawing/2015/06/chart">
            <c:ext xmlns:c16="http://schemas.microsoft.com/office/drawing/2014/chart" uri="{C3380CC4-5D6E-409C-BE32-E72D297353CC}">
              <c16:uniqueId val="{00000003-3A43-4B0B-931F-CC374D60A8C9}"/>
            </c:ext>
          </c:extLst>
        </c:ser>
        <c:ser>
          <c:idx val="4"/>
          <c:order val="4"/>
          <c:tx>
            <c:v>Beoogde doorstroming</c:v>
          </c:tx>
          <c:spPr>
            <a:solidFill>
              <a:schemeClr val="accent6">
                <a:lumMod val="75000"/>
              </a:schemeClr>
            </a:solidFill>
          </c:spPr>
          <c:cat>
            <c:strLit>
              <c:ptCount val="1"/>
              <c:pt idx="0">
                <c:v>Categorieën</c:v>
              </c:pt>
            </c:strLit>
          </c:cat>
          <c:val>
            <c:numLit>
              <c:formatCode>General</c:formatCode>
              <c:ptCount val="1"/>
              <c:pt idx="0">
                <c:v>2</c:v>
              </c:pt>
            </c:numLit>
          </c:val>
          <c:extLst xmlns:c16r2="http://schemas.microsoft.com/office/drawing/2015/06/chart">
            <c:ext xmlns:c16="http://schemas.microsoft.com/office/drawing/2014/chart" uri="{C3380CC4-5D6E-409C-BE32-E72D297353CC}">
              <c16:uniqueId val="{00000004-3A43-4B0B-931F-CC374D60A8C9}"/>
            </c:ext>
          </c:extLst>
        </c:ser>
        <c:ser>
          <c:idx val="5"/>
          <c:order val="5"/>
          <c:tx>
            <c:v>Aanwijzingen in het intakegesprek/aanvraagformulier</c:v>
          </c:tx>
          <c:spPr>
            <a:solidFill>
              <a:schemeClr val="accent5">
                <a:lumMod val="75000"/>
              </a:schemeClr>
            </a:solidFill>
          </c:spPr>
          <c:cat>
            <c:strLit>
              <c:ptCount val="1"/>
              <c:pt idx="0">
                <c:v>Categorieën</c:v>
              </c:pt>
            </c:strLit>
          </c:cat>
          <c:val>
            <c:numLit>
              <c:formatCode>General</c:formatCode>
              <c:ptCount val="1"/>
              <c:pt idx="0">
                <c:v>2</c:v>
              </c:pt>
            </c:numLit>
          </c:val>
          <c:extLst xmlns:c16r2="http://schemas.microsoft.com/office/drawing/2015/06/chart">
            <c:ext xmlns:c16="http://schemas.microsoft.com/office/drawing/2014/chart" uri="{C3380CC4-5D6E-409C-BE32-E72D297353CC}">
              <c16:uniqueId val="{00000005-3A43-4B0B-931F-CC374D60A8C9}"/>
            </c:ext>
          </c:extLst>
        </c:ser>
        <c:ser>
          <c:idx val="6"/>
          <c:order val="6"/>
          <c:tx>
            <c:v>Huurprijs</c:v>
          </c:tx>
          <c:spPr>
            <a:solidFill>
              <a:srgbClr val="FF0000"/>
            </a:solidFill>
          </c:spPr>
          <c:cat>
            <c:strLit>
              <c:ptCount val="1"/>
              <c:pt idx="0">
                <c:v>Categorieën</c:v>
              </c:pt>
            </c:strLit>
          </c:cat>
          <c:val>
            <c:numLit>
              <c:formatCode>General</c:formatCode>
              <c:ptCount val="1"/>
              <c:pt idx="0">
                <c:v>1</c:v>
              </c:pt>
            </c:numLit>
          </c:val>
          <c:extLst xmlns:c16r2="http://schemas.microsoft.com/office/drawing/2015/06/chart">
            <c:ext xmlns:c16="http://schemas.microsoft.com/office/drawing/2014/chart" uri="{C3380CC4-5D6E-409C-BE32-E72D297353CC}">
              <c16:uniqueId val="{00000006-3A43-4B0B-931F-CC374D60A8C9}"/>
            </c:ext>
          </c:extLst>
        </c:ser>
        <c:ser>
          <c:idx val="7"/>
          <c:order val="7"/>
          <c:tx>
            <c:v>Overig</c:v>
          </c:tx>
          <c:spPr>
            <a:solidFill>
              <a:schemeClr val="bg1">
                <a:lumMod val="50000"/>
              </a:schemeClr>
            </a:solidFill>
          </c:spPr>
          <c:cat>
            <c:strLit>
              <c:ptCount val="1"/>
              <c:pt idx="0">
                <c:v>Categorieën</c:v>
              </c:pt>
            </c:strLit>
          </c:cat>
          <c:val>
            <c:numLit>
              <c:formatCode>General</c:formatCode>
              <c:ptCount val="1"/>
              <c:pt idx="0">
                <c:v>6</c:v>
              </c:pt>
            </c:numLit>
          </c:val>
          <c:extLst xmlns:c16r2="http://schemas.microsoft.com/office/drawing/2015/06/chart">
            <c:ext xmlns:c16="http://schemas.microsoft.com/office/drawing/2014/chart" uri="{C3380CC4-5D6E-409C-BE32-E72D297353CC}">
              <c16:uniqueId val="{00000007-3A43-4B0B-931F-CC374D60A8C9}"/>
            </c:ext>
          </c:extLst>
        </c:ser>
        <c:overlap val="-10"/>
        <c:axId val="126366080"/>
        <c:axId val="126367616"/>
      </c:barChart>
      <c:catAx>
        <c:axId val="126366080"/>
        <c:scaling>
          <c:orientation val="minMax"/>
        </c:scaling>
        <c:axPos val="b"/>
        <c:numFmt formatCode="General" sourceLinked="0"/>
        <c:majorTickMark val="none"/>
        <c:tickLblPos val="nextTo"/>
        <c:crossAx val="126367616"/>
        <c:crosses val="autoZero"/>
        <c:auto val="1"/>
        <c:lblAlgn val="ctr"/>
        <c:lblOffset val="100"/>
      </c:catAx>
      <c:valAx>
        <c:axId val="126367616"/>
        <c:scaling>
          <c:orientation val="minMax"/>
        </c:scaling>
        <c:axPos val="l"/>
        <c:majorGridlines/>
        <c:numFmt formatCode="General" sourceLinked="1"/>
        <c:majorTickMark val="none"/>
        <c:tickLblPos val="nextTo"/>
        <c:crossAx val="126366080"/>
        <c:crosses val="autoZero"/>
        <c:crossBetween val="between"/>
      </c:valAx>
      <c:dTable>
        <c:showHorzBorder val="1"/>
        <c:showVertBorder val="1"/>
        <c:showOutline val="1"/>
        <c:showKeys val="1"/>
      </c:dTable>
    </c:plotArea>
    <c:plotVisOnly val="1"/>
    <c:dispBlanksAs val="gap"/>
  </c:chart>
  <c:txPr>
    <a:bodyPr/>
    <a:lstStyle/>
    <a:p>
      <a:pPr>
        <a:defRPr sz="600"/>
      </a:pPr>
      <a:endParaRPr lang="nl-N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nl-NL"/>
  <c:style val="26"/>
  <c:chart>
    <c:title>
      <c:tx>
        <c:rich>
          <a:bodyPr/>
          <a:lstStyle/>
          <a:p>
            <a:pPr>
              <a:defRPr sz="800"/>
            </a:pPr>
            <a:r>
              <a:rPr lang="nl-NL" sz="800"/>
              <a:t>Grafiek 9. duur van het gebruik, feiten en omstandigheden,  </a:t>
            </a:r>
          </a:p>
          <a:p>
            <a:pPr>
              <a:defRPr sz="800"/>
            </a:pPr>
            <a:r>
              <a:rPr lang="nl-NL" sz="800"/>
              <a:t>(beroep op art. 7:232 lid 2 BW wordt afgewezen)</a:t>
            </a:r>
          </a:p>
        </c:rich>
      </c:tx>
      <c:layout>
        <c:manualLayout>
          <c:xMode val="edge"/>
          <c:yMode val="edge"/>
          <c:x val="0.18444137265753338"/>
          <c:y val="2.5092251894596733E-2"/>
        </c:manualLayout>
      </c:layout>
    </c:title>
    <c:plotArea>
      <c:layout/>
      <c:barChart>
        <c:barDir val="col"/>
        <c:grouping val="clustered"/>
        <c:ser>
          <c:idx val="0"/>
          <c:order val="0"/>
          <c:tx>
            <c:v>Slechts bedingen van een bepaalde peropde is onvoldoende</c:v>
          </c:tx>
          <c:spPr>
            <a:solidFill>
              <a:schemeClr val="accent3">
                <a:lumMod val="75000"/>
              </a:schemeClr>
            </a:solidFill>
          </c:spPr>
          <c:cat>
            <c:strLit>
              <c:ptCount val="1"/>
              <c:pt idx="0">
                <c:v>Categorieën</c:v>
              </c:pt>
            </c:strLit>
          </c:cat>
          <c:val>
            <c:numLit>
              <c:formatCode>General</c:formatCode>
              <c:ptCount val="1"/>
              <c:pt idx="0">
                <c:v>5</c:v>
              </c:pt>
            </c:numLit>
          </c:val>
          <c:extLst xmlns:c16r2="http://schemas.microsoft.com/office/drawing/2015/06/chart">
            <c:ext xmlns:c16="http://schemas.microsoft.com/office/drawing/2014/chart" uri="{C3380CC4-5D6E-409C-BE32-E72D297353CC}">
              <c16:uniqueId val="{00000000-E7FE-43DE-B871-20E627CCCC6C}"/>
            </c:ext>
          </c:extLst>
        </c:ser>
        <c:ser>
          <c:idx val="1"/>
          <c:order val="1"/>
          <c:tx>
            <c:v>Verlenging/voortzetting</c:v>
          </c:tx>
          <c:spPr>
            <a:solidFill>
              <a:schemeClr val="accent6">
                <a:lumMod val="75000"/>
              </a:schemeClr>
            </a:solidFill>
          </c:spPr>
          <c:cat>
            <c:strLit>
              <c:ptCount val="1"/>
              <c:pt idx="0">
                <c:v>Categorieën</c:v>
              </c:pt>
            </c:strLit>
          </c:cat>
          <c:val>
            <c:numLit>
              <c:formatCode>General</c:formatCode>
              <c:ptCount val="1"/>
              <c:pt idx="0">
                <c:v>9</c:v>
              </c:pt>
            </c:numLit>
          </c:val>
          <c:extLst xmlns:c16r2="http://schemas.microsoft.com/office/drawing/2015/06/chart">
            <c:ext xmlns:c16="http://schemas.microsoft.com/office/drawing/2014/chart" uri="{C3380CC4-5D6E-409C-BE32-E72D297353CC}">
              <c16:uniqueId val="{00000001-E7FE-43DE-B871-20E627CCCC6C}"/>
            </c:ext>
          </c:extLst>
        </c:ser>
        <c:ser>
          <c:idx val="2"/>
          <c:order val="2"/>
          <c:tx>
            <c:v>Duidelijkheid over de periode en/of einddatum</c:v>
          </c:tx>
          <c:spPr>
            <a:solidFill>
              <a:schemeClr val="accent5">
                <a:lumMod val="75000"/>
              </a:schemeClr>
            </a:solidFill>
          </c:spPr>
          <c:cat>
            <c:strLit>
              <c:ptCount val="1"/>
              <c:pt idx="0">
                <c:v>Categorieën</c:v>
              </c:pt>
            </c:strLit>
          </c:cat>
          <c:val>
            <c:numLit>
              <c:formatCode>General</c:formatCode>
              <c:ptCount val="1"/>
              <c:pt idx="0">
                <c:v>3</c:v>
              </c:pt>
            </c:numLit>
          </c:val>
          <c:extLst xmlns:c16r2="http://schemas.microsoft.com/office/drawing/2015/06/chart">
            <c:ext xmlns:c16="http://schemas.microsoft.com/office/drawing/2014/chart" uri="{C3380CC4-5D6E-409C-BE32-E72D297353CC}">
              <c16:uniqueId val="{00000002-E7FE-43DE-B871-20E627CCCC6C}"/>
            </c:ext>
          </c:extLst>
        </c:ser>
        <c:ser>
          <c:idx val="3"/>
          <c:order val="3"/>
          <c:tx>
            <c:v>Werkelijke duur over de overeenkomst</c:v>
          </c:tx>
          <c:spPr>
            <a:solidFill>
              <a:srgbClr val="7030A0"/>
            </a:solidFill>
          </c:spPr>
          <c:cat>
            <c:strLit>
              <c:ptCount val="1"/>
              <c:pt idx="0">
                <c:v>Categorieën</c:v>
              </c:pt>
            </c:strLit>
          </c:cat>
          <c:val>
            <c:numLit>
              <c:formatCode>General</c:formatCode>
              <c:ptCount val="1"/>
              <c:pt idx="0">
                <c:v>3</c:v>
              </c:pt>
            </c:numLit>
          </c:val>
          <c:extLst xmlns:c16r2="http://schemas.microsoft.com/office/drawing/2015/06/chart">
            <c:ext xmlns:c16="http://schemas.microsoft.com/office/drawing/2014/chart" uri="{C3380CC4-5D6E-409C-BE32-E72D297353CC}">
              <c16:uniqueId val="{00000003-E7FE-43DE-B871-20E627CCCC6C}"/>
            </c:ext>
          </c:extLst>
        </c:ser>
        <c:overlap val="-10"/>
        <c:axId val="126416000"/>
        <c:axId val="126417536"/>
      </c:barChart>
      <c:catAx>
        <c:axId val="126416000"/>
        <c:scaling>
          <c:orientation val="minMax"/>
        </c:scaling>
        <c:axPos val="b"/>
        <c:numFmt formatCode="General" sourceLinked="0"/>
        <c:majorTickMark val="none"/>
        <c:tickLblPos val="nextTo"/>
        <c:crossAx val="126417536"/>
        <c:crosses val="autoZero"/>
        <c:auto val="1"/>
        <c:lblAlgn val="ctr"/>
        <c:lblOffset val="100"/>
      </c:catAx>
      <c:valAx>
        <c:axId val="126417536"/>
        <c:scaling>
          <c:orientation val="minMax"/>
        </c:scaling>
        <c:axPos val="l"/>
        <c:majorGridlines/>
        <c:numFmt formatCode="General" sourceLinked="1"/>
        <c:majorTickMark val="none"/>
        <c:tickLblPos val="nextTo"/>
        <c:txPr>
          <a:bodyPr/>
          <a:lstStyle/>
          <a:p>
            <a:pPr>
              <a:defRPr sz="600"/>
            </a:pPr>
            <a:endParaRPr lang="nl-NL"/>
          </a:p>
        </c:txPr>
        <c:crossAx val="126416000"/>
        <c:crosses val="autoZero"/>
        <c:crossBetween val="between"/>
      </c:valAx>
      <c:dTable>
        <c:showHorzBorder val="1"/>
        <c:showVertBorder val="1"/>
        <c:showOutline val="1"/>
        <c:showKeys val="1"/>
        <c:txPr>
          <a:bodyPr/>
          <a:lstStyle/>
          <a:p>
            <a:pPr rtl="0">
              <a:defRPr sz="600" baseline="0"/>
            </a:pPr>
            <a:endParaRPr lang="nl-NL"/>
          </a:p>
        </c:txPr>
      </c:dTable>
    </c:plotArea>
    <c:plotVisOnly val="1"/>
    <c:dispBlanksAs val="gap"/>
  </c:chart>
  <c:externalData r:id="rId1"/>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2016-06-12T00:00:00</PublishDate>
  <Abstract>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3B78B0-F0D5-47BD-854C-9544D680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18259</Words>
  <Characters>100428</Characters>
  <Application>Microsoft Office Word</Application>
  <DocSecurity>0</DocSecurity>
  <Lines>836</Lines>
  <Paragraphs>236</Paragraphs>
  <ScaleCrop>false</ScaleCrop>
  <HeadingPairs>
    <vt:vector size="2" baseType="variant">
      <vt:variant>
        <vt:lpstr>Titel</vt:lpstr>
      </vt:variant>
      <vt:variant>
        <vt:i4>1</vt:i4>
      </vt:variant>
    </vt:vector>
  </HeadingPairs>
  <TitlesOfParts>
    <vt:vector size="1" baseType="lpstr">
      <vt:lpstr>Huurovereenkomst naar zijn aard van "korte duur"</vt:lpstr>
    </vt:vector>
  </TitlesOfParts>
  <Company/>
  <LinksUpToDate>false</LinksUpToDate>
  <CharactersWithSpaces>118451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Huurovereenkomst naar zijn aard van "korte duur"</dc:title>
  <dc:creator>Erkan Alanyurt</dc:creator>
  <cp:lastModifiedBy>erkan</cp:lastModifiedBy>
  <cp:revision>3</cp:revision>
  <cp:lastPrinted>2016-06-21T05:18:00Z</cp:lastPrinted>
  <dcterms:created xsi:type="dcterms:W3CDTF">2016-06-21T05:23:00Z</dcterms:created>
  <dcterms:modified xsi:type="dcterms:W3CDTF">2016-06-21T05:43:00Z</dcterms:modified>
</cp:coreProperties>
</file>